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6237" w:leader="none"/>
        </w:tabs>
        <w:rPr>
          <w:rFonts w:ascii="Arial" w:hAnsi="Arial" w:cs="Arial"/>
          <w:i/>
          <w:i/>
          <w:shadow/>
          <w:sz w:val="10"/>
          <w:lang w:val="sq-AL"/>
        </w:rPr>
      </w:pPr>
      <w:r>
        <w:rPr>
          <w:rFonts w:cs="Arial" w:ascii="Arial" w:hAnsi="Arial"/>
          <w:i/>
          <w:shadow/>
          <w:sz w:val="10"/>
          <w:lang w:val="sq-AL"/>
        </w:rPr>
      </w:r>
    </w:p>
    <w:p>
      <w:pPr>
        <w:pStyle w:val="Normal"/>
        <w:keepNext w:val="true"/>
        <w:rPr>
          <w:rFonts w:ascii="Arial" w:hAnsi="Arial" w:cs="Arial"/>
          <w:i/>
          <w:i/>
          <w:shadow/>
          <w:sz w:val="10"/>
          <w:lang w:val="sq-AL"/>
        </w:rPr>
      </w:pPr>
      <w:r>
        <w:rPr>
          <w:rFonts w:cs="Arial" w:ascii="Arial" w:hAnsi="Arial"/>
          <w:i/>
          <w:shadow/>
          <w:sz w:val="10"/>
          <w:lang w:val="sq-AL"/>
        </w:rPr>
      </w:r>
    </w:p>
    <w:p>
      <w:pPr>
        <w:pStyle w:val="Nadpis2"/>
        <w:jc w:val="center"/>
        <w:rPr/>
      </w:pPr>
      <w:r>
        <w:rPr>
          <w:i w:val="false"/>
          <w:caps/>
          <w:sz w:val="44"/>
          <w:szCs w:val="44"/>
        </w:rPr>
        <w:t>d 401.01   Technická zpráva přeložky nn  v ul. Dřevařská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495" w:type="dxa"/>
        <w:jc w:val="left"/>
        <w:tblInd w:w="0" w:type="dxa"/>
        <w:tblCellMar>
          <w:top w:w="0" w:type="dxa"/>
          <w:left w:w="71" w:type="dxa"/>
          <w:bottom w:w="0" w:type="dxa"/>
          <w:right w:w="71" w:type="dxa"/>
        </w:tblCellMar>
      </w:tblPr>
      <w:tblGrid>
        <w:gridCol w:w="4605"/>
        <w:gridCol w:w="164"/>
        <w:gridCol w:w="4726"/>
      </w:tblGrid>
      <w:tr>
        <w:trPr/>
        <w:tc>
          <w:tcPr>
            <w:tcW w:w="4605" w:type="dxa"/>
            <w:tcBorders/>
            <w:shd w:fill="auto" w:val="clear"/>
          </w:tcPr>
          <w:p>
            <w:pPr>
              <w:pStyle w:val="Normal"/>
              <w:snapToGrid w:val="false"/>
              <w:spacing w:lineRule="atLeast" w:line="240"/>
              <w:rPr>
                <w:rFonts w:ascii="Arial" w:hAnsi="Arial" w:cs="Arial"/>
                <w:b/>
                <w:b/>
                <w:sz w:val="22"/>
              </w:rPr>
            </w:pPr>
            <w:r>
              <w:rPr>
                <w:rFonts w:cs="Arial" w:ascii="Arial" w:hAnsi="Arial"/>
                <w:b/>
                <w:sz w:val="22"/>
              </w:rPr>
            </w:r>
          </w:p>
        </w:tc>
        <w:tc>
          <w:tcPr>
            <w:tcW w:w="164" w:type="dxa"/>
            <w:tcBorders/>
            <w:shd w:fill="auto" w:val="clear"/>
          </w:tcPr>
          <w:p>
            <w:pPr>
              <w:pStyle w:val="Normal"/>
              <w:snapToGrid w:val="false"/>
              <w:spacing w:lineRule="atLeast" w:line="240"/>
              <w:rPr>
                <w:rFonts w:ascii="Arial" w:hAnsi="Arial" w:cs="Arial"/>
                <w:b/>
                <w:b/>
                <w:sz w:val="22"/>
              </w:rPr>
            </w:pPr>
            <w:r>
              <w:rPr>
                <w:rFonts w:cs="Arial" w:ascii="Arial" w:hAnsi="Arial"/>
                <w:b/>
                <w:sz w:val="22"/>
              </w:rPr>
            </w:r>
          </w:p>
        </w:tc>
        <w:tc>
          <w:tcPr>
            <w:tcW w:w="4726" w:type="dxa"/>
            <w:tcBorders/>
            <w:shd w:fill="auto" w:val="clear"/>
          </w:tcPr>
          <w:p>
            <w:pPr>
              <w:pStyle w:val="Normal"/>
              <w:snapToGrid w:val="false"/>
              <w:spacing w:lineRule="atLeast" w:line="240"/>
              <w:rPr>
                <w:rFonts w:ascii="Arial" w:hAnsi="Arial" w:cs="Arial"/>
                <w:b/>
                <w:b/>
                <w:bCs/>
                <w:sz w:val="22"/>
              </w:rPr>
            </w:pPr>
            <w:r>
              <w:rPr>
                <w:rFonts w:cs="Arial" w:ascii="Arial" w:hAnsi="Arial"/>
                <w:b/>
                <w:bCs/>
                <w:sz w:val="22"/>
              </w:rPr>
            </w:r>
          </w:p>
        </w:tc>
      </w:tr>
    </w:tbl>
    <w:p>
      <w:pPr>
        <w:pStyle w:val="Normal"/>
        <w:numPr>
          <w:ilvl w:val="0"/>
          <w:numId w:val="5"/>
        </w:numPr>
        <w:tabs>
          <w:tab w:val="clear" w:pos="708"/>
          <w:tab w:val="left" w:pos="567" w:leader="none"/>
        </w:tabs>
        <w:ind w:left="567" w:hanging="567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Technická  data  projektové  dokumentace</w:t>
      </w:r>
    </w:p>
    <w:p>
      <w:pPr>
        <w:pStyle w:val="Normal"/>
        <w:spacing w:before="120" w:after="0"/>
        <w:ind w:firstLine="567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Základní technická data projektové dokumentace:</w:t>
      </w:r>
    </w:p>
    <w:p>
      <w:pPr>
        <w:pStyle w:val="Normal"/>
        <w:tabs>
          <w:tab w:val="clear" w:pos="708"/>
          <w:tab w:val="left" w:pos="567" w:leader="none"/>
        </w:tabs>
        <w:ind w:left="1068" w:hanging="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zákres na  výkrese  č.401.02</w:t>
      </w:r>
    </w:p>
    <w:p>
      <w:pPr>
        <w:pStyle w:val="Normal"/>
        <w:spacing w:lineRule="atLeast" w:line="240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567" w:leader="none"/>
        </w:tabs>
        <w:ind w:left="567" w:hanging="567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Rozsah řešení</w:t>
      </w:r>
    </w:p>
    <w:p>
      <w:pPr>
        <w:pStyle w:val="Normal"/>
        <w:spacing w:before="120" w:after="0"/>
        <w:ind w:firstLine="567"/>
        <w:jc w:val="both"/>
        <w:rPr/>
      </w:pPr>
      <w:r>
        <w:rPr>
          <w:rFonts w:cs="Arial" w:ascii="Arial" w:hAnsi="Arial"/>
          <w:sz w:val="22"/>
          <w:szCs w:val="22"/>
        </w:rPr>
        <w:t>Účelem stavby je přeložka kabelů  NN v ulici Dřevařská. Stávající distribuční síť a el. zařízení je ve správě E.ON ČR RS Brno.</w:t>
      </w:r>
    </w:p>
    <w:p>
      <w:pPr>
        <w:pStyle w:val="Normal"/>
        <w:ind w:firstLine="567"/>
        <w:jc w:val="both"/>
        <w:rPr/>
      </w:pPr>
      <w:r>
        <w:rPr>
          <w:rFonts w:cs="Arial" w:ascii="Arial" w:hAnsi="Arial"/>
          <w:sz w:val="22"/>
          <w:szCs w:val="22"/>
        </w:rPr>
        <w:t>Provozovatelem DS NN a VN je společnost E.ON Distribuce, a.s., zastoupená společností E.ON Česká republika, s.r.o.</w:t>
      </w:r>
    </w:p>
    <w:p>
      <w:pPr>
        <w:pStyle w:val="Normal"/>
        <w:ind w:firstLine="567"/>
        <w:jc w:val="both"/>
        <w:rPr/>
      </w:pPr>
      <w:r>
        <w:rPr>
          <w:rFonts w:cs="Arial" w:ascii="Arial" w:hAnsi="Arial"/>
          <w:sz w:val="22"/>
          <w:szCs w:val="22"/>
          <w:u w:val="single"/>
        </w:rPr>
        <w:t>Technicky</w:t>
      </w:r>
      <w:r>
        <w:rPr>
          <w:rFonts w:cs="Arial" w:ascii="Arial" w:hAnsi="Arial"/>
          <w:sz w:val="22"/>
          <w:szCs w:val="22"/>
        </w:rPr>
        <w:t xml:space="preserve"> se jedná o překládku kabelového vedení NN typu NAYY 4x240 mm2.Stavbou nedojde ke změně parcelních čísel.  Kabelové vedení N bude naspojkováno dle situace. Jedná se o vyvolanou překládku z důvodu budování nových parkovacích stání v ul. Dřevařská.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délka trasy NN                                   :                     50 m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         </w:t>
      </w:r>
    </w:p>
    <w:p>
      <w:pPr>
        <w:pStyle w:val="Normal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  <w:sz w:val="22"/>
          <w:szCs w:val="22"/>
        </w:rPr>
        <w:t xml:space="preserve">Projektová dokumentace stavby byla projednaná se zainteresovanými organizacemi a majiteli dotčených pozemků. Veškerá vyjádření a požadavky dotčených organizací i jednotlivých majitelů jsou součástí dokladové části stavební části projektové dokumentace. </w:t>
      </w:r>
    </w:p>
    <w:p>
      <w:pPr>
        <w:pStyle w:val="Normal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dotčené pozemky</w:t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outlineLvl w:val="6"/>
        <w:rPr/>
      </w:pPr>
      <w:r>
        <w:rPr>
          <w:rFonts w:cs="Arial" w:ascii="Arial" w:hAnsi="Arial"/>
          <w:sz w:val="22"/>
        </w:rPr>
        <w:t>1673/1, 1673/2 –  přeložka je vedena ve stávajících pozemcích, dotčení pozemků je projednáváno zadavatelem dokumentace</w:t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ind w:firstLine="539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stávající stav napájení</w:t>
      </w:r>
    </w:p>
    <w:p>
      <w:pPr>
        <w:pStyle w:val="Normal"/>
        <w:spacing w:before="120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 dotčené lokalitě se nachází kabelové vedení VN a NN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</w:r>
    </w:p>
    <w:p>
      <w:pPr>
        <w:pStyle w:val="Normal"/>
        <w:rPr>
          <w:rFonts w:ascii="Arial" w:hAnsi="Arial" w:cs="Arial"/>
          <w:sz w:val="22"/>
          <w:szCs w:val="22"/>
          <w:lang w:eastAsia="ar-SA"/>
        </w:rPr>
      </w:pPr>
      <w:r>
        <w:rPr>
          <w:rFonts w:cs="Arial" w:ascii="Arial" w:hAnsi="Arial"/>
          <w:sz w:val="22"/>
          <w:szCs w:val="22"/>
          <w:lang w:eastAsia="ar-SA"/>
        </w:rPr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567" w:leader="none"/>
        </w:tabs>
        <w:ind w:left="567" w:hanging="567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Technické údaje</w:t>
      </w:r>
    </w:p>
    <w:p>
      <w:pPr>
        <w:pStyle w:val="Normal"/>
        <w:rPr>
          <w:rFonts w:ascii="Arial" w:hAnsi="Arial" w:cs="Arial"/>
          <w:b/>
          <w:b/>
          <w:smallCaps/>
          <w:sz w:val="24"/>
          <w:szCs w:val="28"/>
          <w:u w:val="single"/>
        </w:rPr>
      </w:pPr>
      <w:r>
        <w:rPr>
          <w:rFonts w:cs="Arial" w:ascii="Arial" w:hAnsi="Arial"/>
          <w:b/>
          <w:smallCaps/>
          <w:sz w:val="24"/>
          <w:szCs w:val="28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Základní energetické údaje :</w:t>
      </w:r>
    </w:p>
    <w:p>
      <w:pPr>
        <w:pStyle w:val="Nadpis5"/>
        <w:tabs>
          <w:tab w:val="left" w:pos="567" w:leader="none"/>
          <w:tab w:val="left" w:pos="2880" w:leader="none"/>
          <w:tab w:val="left" w:pos="3240" w:leader="none"/>
          <w:tab w:val="left" w:pos="3960" w:leader="none"/>
        </w:tabs>
        <w:rPr>
          <w:rFonts w:ascii="Arial" w:hAnsi="Arial" w:cs="Arial"/>
          <w:b/>
          <w:b/>
          <w:smallCaps/>
          <w:sz w:val="22"/>
          <w:szCs w:val="22"/>
          <w:u w:val="single"/>
        </w:rPr>
      </w:pPr>
      <w:r>
        <w:rPr>
          <w:rFonts w:cs="Arial" w:ascii="Arial" w:hAnsi="Arial"/>
          <w:b/>
          <w:smallCaps/>
          <w:sz w:val="22"/>
          <w:szCs w:val="22"/>
          <w:u w:val="single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Napěťová soustava </w:t>
        <w:tab/>
        <w:t xml:space="preserve">– VN    </w:t>
      </w:r>
      <w:r>
        <w:rPr>
          <w:rFonts w:cs="Arial" w:ascii="Arial" w:hAnsi="Arial"/>
          <w:sz w:val="22"/>
        </w:rPr>
        <w:t xml:space="preserve">:     </w:t>
        <w:tab/>
        <w:t>3 AC 50Hz, 22.000V/ IT(r)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180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/>
      </w:pPr>
      <w:r>
        <w:rPr>
          <w:rFonts w:cs="Arial" w:ascii="Arial" w:hAnsi="Arial"/>
          <w:sz w:val="22"/>
          <w:szCs w:val="22"/>
        </w:rPr>
        <w:tab/>
        <w:tab/>
        <w:tab/>
        <w:t xml:space="preserve"> </w:t>
        <w:tab/>
      </w:r>
      <w:r>
        <w:rPr>
          <w:rFonts w:cs="Arial" w:ascii="Arial" w:hAnsi="Arial"/>
          <w:b/>
          <w:sz w:val="22"/>
          <w:szCs w:val="22"/>
        </w:rPr>
        <w:t xml:space="preserve">– NN   </w:t>
      </w:r>
      <w:r>
        <w:rPr>
          <w:rFonts w:cs="Arial" w:ascii="Arial" w:hAnsi="Arial"/>
          <w:sz w:val="22"/>
          <w:szCs w:val="22"/>
        </w:rPr>
        <w:tab/>
        <w:t xml:space="preserve">:     </w:t>
        <w:tab/>
        <w:t>3 PEN AC, 50Hz, 400/230V/ TN-C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/>
      </w:pPr>
      <w:r>
        <w:rPr>
          <w:rFonts w:cs="Arial" w:ascii="Arial" w:hAnsi="Arial"/>
          <w:b/>
          <w:sz w:val="22"/>
          <w:szCs w:val="22"/>
        </w:rPr>
        <w:t>Druh sítě</w:t>
        <w:tab/>
        <w:tab/>
        <w:tab/>
        <w:t xml:space="preserve">– VN    </w:t>
      </w:r>
      <w:r>
        <w:rPr>
          <w:rFonts w:cs="Arial" w:ascii="Arial" w:hAnsi="Arial"/>
          <w:sz w:val="22"/>
          <w:szCs w:val="22"/>
        </w:rPr>
        <w:t xml:space="preserve">:     </w:t>
        <w:tab/>
        <w:t xml:space="preserve">síť IT , střídavá  trojfázová třívodičová,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567" w:leader="none"/>
          <w:tab w:val="left" w:pos="2880" w:leader="none"/>
          <w:tab w:val="left" w:pos="3240" w:leader="none"/>
          <w:tab w:val="left" w:pos="3960" w:leader="none"/>
        </w:tabs>
        <w:ind w:left="480" w:hanging="0"/>
        <w:outlineLvl w:val="4"/>
        <w:rPr>
          <w:rFonts w:ascii="Arial" w:hAnsi="Arial" w:cs="Arial"/>
          <w:bCs/>
          <w:iCs/>
          <w:sz w:val="22"/>
        </w:rPr>
      </w:pPr>
      <w:r>
        <w:rPr>
          <w:rFonts w:cs="Arial" w:ascii="Arial" w:hAnsi="Arial"/>
          <w:bCs/>
          <w:iCs/>
          <w:sz w:val="22"/>
        </w:rPr>
        <w:tab/>
        <w:tab/>
        <w:tab/>
        <w:t xml:space="preserve">- s nepřímo uzemněným středem (uzlem) 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180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/>
      </w:pPr>
      <w:r>
        <w:rPr>
          <w:rFonts w:cs="Arial" w:ascii="Arial" w:hAnsi="Arial"/>
          <w:sz w:val="22"/>
          <w:szCs w:val="22"/>
        </w:rPr>
        <w:tab/>
        <w:tab/>
        <w:tab/>
        <w:tab/>
      </w:r>
      <w:r>
        <w:rPr>
          <w:rFonts w:cs="Arial" w:ascii="Arial" w:hAnsi="Arial"/>
          <w:b/>
          <w:sz w:val="22"/>
          <w:szCs w:val="22"/>
        </w:rPr>
        <w:t>–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NN</w:t>
      </w:r>
      <w:r>
        <w:rPr>
          <w:rFonts w:cs="Arial" w:ascii="Arial" w:hAnsi="Arial"/>
          <w:sz w:val="22"/>
          <w:szCs w:val="22"/>
        </w:rPr>
        <w:tab/>
        <w:t>:</w:t>
        <w:tab/>
      </w:r>
      <w:r>
        <w:rPr>
          <w:rFonts w:cs="Arial" w:ascii="Arial" w:hAnsi="Arial"/>
          <w:sz w:val="22"/>
        </w:rPr>
        <w:t>síť TN-C, střídavá  trojfázová čtyřvodičová,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1800" w:leader="none"/>
          <w:tab w:val="left" w:pos="2127" w:leader="none"/>
          <w:tab w:val="left" w:pos="3240" w:leader="none"/>
          <w:tab w:val="left" w:pos="3544" w:leader="none"/>
          <w:tab w:val="left" w:pos="3969" w:leader="none"/>
        </w:tabs>
        <w:ind w:left="2836" w:right="-284" w:hanging="2835"/>
        <w:jc w:val="both"/>
        <w:rPr/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 xml:space="preserve">- </w:t>
      </w:r>
      <w:r>
        <w:rPr>
          <w:rFonts w:cs="Arial" w:ascii="Arial" w:hAnsi="Arial"/>
          <w:sz w:val="22"/>
        </w:rPr>
        <w:t>s uzemněným středem (uzlem) a samostatným vodičem PEN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Ochrana před úrazem el. proudem v DS VN nad 1000V AC –  dle PNE 33 0000-1/5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základní ochrana</w:t>
      </w:r>
      <w:r>
        <w:rPr>
          <w:rFonts w:cs="Arial" w:ascii="Arial" w:hAnsi="Arial"/>
          <w:sz w:val="22"/>
        </w:rPr>
        <w:t xml:space="preserve"> – ochrana před přímým dotykem – před dotykem živých částí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>:</w:t>
        <w:tab/>
        <w:t xml:space="preserve">polohou </w:t>
        <w:tab/>
        <w:tab/>
        <w:tab/>
        <w:t>- dle čl. 3.2.2.1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>zábranou</w:t>
        <w:tab/>
        <w:tab/>
        <w:t xml:space="preserve"> </w:t>
        <w:tab/>
        <w:t>- dle čl. 3.2.2.2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/>
      </w:pPr>
      <w:r>
        <w:rPr>
          <w:rFonts w:cs="Arial" w:ascii="Arial" w:hAnsi="Arial"/>
          <w:sz w:val="22"/>
        </w:rPr>
        <w:tab/>
        <w:tab/>
        <w:tab/>
        <w:t xml:space="preserve">přepážkami n. kryty </w:t>
        <w:tab/>
        <w:t>- dle čl. 3.2.2.3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 xml:space="preserve">izolací </w:t>
        <w:tab/>
        <w:tab/>
        <w:tab/>
        <w:tab/>
        <w:t xml:space="preserve">- dle čl. 3.2.2.4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jc w:val="both"/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ochrana při poruše</w:t>
      </w:r>
      <w:r>
        <w:rPr>
          <w:rFonts w:cs="Arial" w:ascii="Arial" w:hAnsi="Arial"/>
          <w:sz w:val="22"/>
        </w:rPr>
        <w:t xml:space="preserve"> – ochrana před nepřímým dotykem – před dotykem neživých částí </w:t>
        <w:tab/>
        <w:tab/>
        <w:t xml:space="preserve">:  </w:t>
        <w:tab/>
        <w:tab/>
        <w:t xml:space="preserve">zemněním s rychlým vypnutím v síti IT(r)  nad 1000V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3261" w:leader="none"/>
          <w:tab w:val="left" w:pos="3544" w:leader="none"/>
          <w:tab w:val="left" w:pos="3969" w:leader="none"/>
          <w:tab w:val="left" w:pos="4253" w:leader="none"/>
          <w:tab w:val="left" w:pos="4536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>- dle čl.3.4.3.3</w:t>
        <w:tab/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/>
      </w:pPr>
      <w:r>
        <w:rPr>
          <w:rFonts w:cs="Arial" w:ascii="Arial" w:hAnsi="Arial"/>
          <w:b/>
          <w:sz w:val="22"/>
          <w:szCs w:val="22"/>
        </w:rPr>
        <w:t>Ochrana před úrazem el. proudem v DS NN do 1000V AC - dle PNE 33 0000-1/5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1260" w:leader="none"/>
          <w:tab w:val="left" w:pos="2835" w:leader="none"/>
          <w:tab w:val="left" w:pos="3261" w:leader="none"/>
          <w:tab w:val="left" w:pos="3969" w:leader="none"/>
        </w:tabs>
        <w:outlineLvl w:val="3"/>
        <w:rPr/>
      </w:pPr>
      <w:r>
        <w:rPr>
          <w:rFonts w:cs="Arial" w:ascii="Arial" w:hAnsi="Arial"/>
          <w:sz w:val="22"/>
          <w:u w:val="single"/>
        </w:rPr>
        <w:t>- základní ochrana</w:t>
      </w:r>
      <w:r>
        <w:rPr>
          <w:rFonts w:cs="Arial" w:ascii="Arial" w:hAnsi="Arial"/>
          <w:sz w:val="22"/>
        </w:rPr>
        <w:t xml:space="preserve"> - ochrana před přímým dotykem - před dotykem živých částí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>:</w:t>
        <w:tab/>
        <w:t xml:space="preserve">polohou </w:t>
        <w:tab/>
        <w:tab/>
        <w:tab/>
        <w:t>- dle čl. 3.2.2.1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>zábranou</w:t>
        <w:tab/>
        <w:tab/>
        <w:t xml:space="preserve"> </w:t>
        <w:tab/>
        <w:t>- dle čl. 3.2.2.2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 xml:space="preserve">přepážkami n. kryty </w:t>
        <w:tab/>
        <w:t>- dle čl. 3.2.2.3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 xml:space="preserve">izolací </w:t>
        <w:tab/>
        <w:tab/>
        <w:tab/>
        <w:tab/>
        <w:t xml:space="preserve">- dle čl. 3.2.2.4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</w:tabs>
        <w:outlineLvl w:val="3"/>
        <w:rPr/>
      </w:pPr>
      <w:r>
        <w:rPr>
          <w:rFonts w:cs="Arial" w:ascii="Arial" w:hAnsi="Arial"/>
          <w:sz w:val="22"/>
          <w:u w:val="single"/>
        </w:rPr>
        <w:t>- ochrana při poruše</w:t>
      </w:r>
      <w:r>
        <w:rPr>
          <w:rFonts w:cs="Arial" w:ascii="Arial" w:hAnsi="Arial"/>
          <w:sz w:val="22"/>
        </w:rPr>
        <w:t xml:space="preserve"> - ochrana před nepřímým dotykem - před dotykem neživých částí </w:t>
        <w:tab/>
        <w:tab/>
        <w:tab/>
        <w:t>:</w:t>
        <w:tab/>
        <w:tab/>
        <w:t xml:space="preserve">izolací - v nově budovaných částech sítí NN </w:t>
        <w:tab/>
        <w:t>- dle čl. 3.3.2.1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93" w:leader="none"/>
          <w:tab w:val="left" w:pos="2835" w:leader="none"/>
          <w:tab w:val="left" w:pos="3261" w:leader="none"/>
          <w:tab w:val="left" w:pos="3969" w:leader="none"/>
          <w:tab w:val="left" w:pos="7200" w:leader="none"/>
        </w:tabs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>automatickým odpojením od zdroje</w:t>
        <w:tab/>
        <w:tab/>
        <w:t>- dle čl. 3.3.2.5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Vnější vlivy  – dle PNE 33 0000-2/4 ( ČSN 33 2000-3, ČSN 33 2000-5-51/2 ) 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1080" w:leader="none"/>
          <w:tab w:val="left" w:pos="2835" w:leader="none"/>
          <w:tab w:val="left" w:pos="3969" w:leader="none"/>
        </w:tabs>
        <w:jc w:val="both"/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standartní</w:t>
      </w:r>
      <w:r>
        <w:rPr>
          <w:rFonts w:cs="Arial" w:ascii="Arial" w:hAnsi="Arial"/>
          <w:sz w:val="22"/>
        </w:rPr>
        <w:t xml:space="preserve"> - pro venkovní prostory, vč.výkopu, dle tab. 6 a Přílohy č.3 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240" w:leader="none"/>
          <w:tab w:val="left" w:pos="3969" w:leader="none"/>
        </w:tabs>
        <w:ind w:left="2836" w:hanging="4"/>
        <w:jc w:val="both"/>
        <w:outlineLvl w:val="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:      AA8/AB8/AC1/AD4/AM2-31/AN3/AP1/AQ3/AR1/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240" w:leader="none"/>
          <w:tab w:val="left" w:pos="3969" w:leader="none"/>
        </w:tabs>
        <w:ind w:left="2836" w:hanging="4"/>
        <w:jc w:val="both"/>
        <w:outlineLvl w:val="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>BA5/BB2/BC3/BD1/BE1/CA1/CB1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1080" w:leader="none"/>
          <w:tab w:val="left" w:pos="2835" w:leader="none"/>
          <w:tab w:val="left" w:pos="3969" w:leader="none"/>
        </w:tabs>
        <w:jc w:val="both"/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variabilní</w:t>
      </w:r>
      <w:r>
        <w:rPr>
          <w:rFonts w:cs="Arial" w:ascii="Arial" w:hAnsi="Arial"/>
          <w:sz w:val="22"/>
        </w:rPr>
        <w:t xml:space="preserve"> - pro venkovní prostory, vč.výkopu, dle tab. 7 a Přílohy č.3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240" w:leader="none"/>
          <w:tab w:val="left" w:pos="3969" w:leader="none"/>
        </w:tabs>
        <w:ind w:left="2836" w:hanging="4"/>
        <w:jc w:val="both"/>
        <w:outlineLvl w:val="3"/>
        <w:rPr/>
      </w:pPr>
      <w:r>
        <w:rPr>
          <w:rFonts w:cs="Arial" w:ascii="Arial" w:hAnsi="Arial"/>
          <w:sz w:val="22"/>
          <w:szCs w:val="22"/>
        </w:rPr>
        <w:tab/>
        <w:t xml:space="preserve">:      AE2-6/AF1-3/AG1-2/AH1-2/AK1-2/AL1-2/AM2-6/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240" w:leader="none"/>
          <w:tab w:val="left" w:pos="3969" w:leader="none"/>
        </w:tabs>
        <w:ind w:left="2836" w:hanging="4"/>
        <w:jc w:val="both"/>
        <w:outlineLvl w:val="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>/AR1-3/AS1-3/AT1-3/AU1-4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1080" w:leader="none"/>
          <w:tab w:val="left" w:pos="2835" w:leader="none"/>
          <w:tab w:val="left" w:pos="3969" w:leader="none"/>
        </w:tabs>
        <w:jc w:val="both"/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standartní</w:t>
      </w:r>
      <w:r>
        <w:rPr>
          <w:rFonts w:cs="Arial" w:ascii="Arial" w:hAnsi="Arial"/>
          <w:sz w:val="22"/>
        </w:rPr>
        <w:t xml:space="preserve"> - pro vnitřní prostory bez regulace teploty, dle tab. 6 a Přílohy č.2 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969" w:leader="none"/>
        </w:tabs>
        <w:outlineLvl w:val="3"/>
        <w:rPr/>
      </w:pPr>
      <w:r>
        <w:rPr>
          <w:rFonts w:cs="Arial" w:ascii="Arial" w:hAnsi="Arial"/>
          <w:i/>
          <w:sz w:val="22"/>
          <w:szCs w:val="22"/>
        </w:rPr>
        <w:tab/>
      </w:r>
      <w:r>
        <w:rPr>
          <w:rFonts w:cs="Arial" w:ascii="Arial" w:hAnsi="Arial"/>
          <w:sz w:val="22"/>
          <w:szCs w:val="22"/>
        </w:rPr>
        <w:t xml:space="preserve">:      AA4/ AB4/ AC1/ AD2/ AE1/ AF1/ AK1/ AL1/ AN2/AP1/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3261" w:leader="none"/>
          <w:tab w:val="left" w:pos="3969" w:leader="none"/>
        </w:tabs>
        <w:outlineLvl w:val="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AR1/ BA5 (4)/ BB2/ BC3/ BD1/ BE1/ CA1/ CB1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1080" w:leader="none"/>
          <w:tab w:val="left" w:pos="2835" w:leader="none"/>
          <w:tab w:val="left" w:pos="3969" w:leader="none"/>
        </w:tabs>
        <w:jc w:val="both"/>
        <w:outlineLvl w:val="3"/>
        <w:rPr/>
      </w:pPr>
      <w:r>
        <w:rPr>
          <w:rFonts w:cs="Arial" w:ascii="Arial" w:hAnsi="Arial"/>
          <w:sz w:val="22"/>
        </w:rPr>
        <w:t xml:space="preserve">- </w:t>
      </w:r>
      <w:r>
        <w:rPr>
          <w:rFonts w:cs="Arial" w:ascii="Arial" w:hAnsi="Arial"/>
          <w:sz w:val="22"/>
          <w:u w:val="single"/>
        </w:rPr>
        <w:t>variabilní</w:t>
      </w:r>
      <w:r>
        <w:rPr>
          <w:rFonts w:cs="Arial" w:ascii="Arial" w:hAnsi="Arial"/>
          <w:sz w:val="22"/>
        </w:rPr>
        <w:t xml:space="preserve"> - pro vnitřní prostory bez regulace teploty, dle tab. 7 a Přílohy č.2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2835" w:leader="none"/>
          <w:tab w:val="left" w:pos="3240" w:leader="none"/>
          <w:tab w:val="left" w:pos="3969" w:leader="none"/>
        </w:tabs>
        <w:ind w:left="2836" w:hanging="4"/>
        <w:jc w:val="both"/>
        <w:outlineLvl w:val="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:     </w:t>
        <w:tab/>
        <w:t>AG1-2/AH1-2/AM2-9/AQ1-2/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544" w:leader="none"/>
          <w:tab w:val="left" w:pos="3969" w:leader="none"/>
        </w:tabs>
        <w:ind w:left="2836" w:right="-284" w:hanging="2835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Prostor 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969" w:leader="none"/>
        </w:tabs>
        <w:ind w:left="2836" w:right="-284" w:hanging="2835"/>
        <w:rPr/>
      </w:pPr>
      <w:r>
        <w:rPr>
          <w:rFonts w:cs="Arial" w:ascii="Arial" w:hAnsi="Arial"/>
          <w:sz w:val="22"/>
          <w:u w:val="single"/>
        </w:rPr>
        <w:t>- z hlediska vnějších vlivů – TS</w:t>
      </w:r>
      <w:r>
        <w:rPr>
          <w:rFonts w:cs="Arial" w:ascii="Arial" w:hAnsi="Arial"/>
          <w:sz w:val="22"/>
        </w:rPr>
        <w:tab/>
        <w:t>: IV – vnitřní prostor bez regulace teploty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969" w:leader="none"/>
        </w:tabs>
        <w:ind w:left="2836" w:right="-284" w:hanging="2835"/>
        <w:rPr/>
      </w:pPr>
      <w:r>
        <w:rPr>
          <w:rFonts w:cs="Arial" w:ascii="Arial" w:hAnsi="Arial"/>
          <w:sz w:val="22"/>
        </w:rPr>
        <w:tab/>
        <w:tab/>
        <w:tab/>
        <w:t xml:space="preserve">  </w:t>
      </w:r>
      <w:r>
        <w:rPr>
          <w:rFonts w:cs="Arial" w:ascii="Arial" w:hAnsi="Arial"/>
          <w:sz w:val="22"/>
          <w:u w:val="single"/>
        </w:rPr>
        <w:t xml:space="preserve"> – kabel</w:t>
      </w:r>
      <w:r>
        <w:rPr>
          <w:rFonts w:cs="Arial" w:ascii="Arial" w:hAnsi="Arial"/>
          <w:sz w:val="22"/>
        </w:rPr>
        <w:tab/>
        <w:t>: VI – prostor přímo vystavený působení venkovního klimatu</w:t>
      </w:r>
    </w:p>
    <w:p>
      <w:pPr>
        <w:pStyle w:val="Normal"/>
        <w:keepNext w:val="true"/>
        <w:numPr>
          <w:ilvl w:val="0"/>
          <w:numId w:val="1"/>
        </w:numPr>
        <w:tabs>
          <w:tab w:val="clear" w:pos="708"/>
          <w:tab w:val="left" w:pos="3261" w:leader="none"/>
          <w:tab w:val="left" w:pos="3544" w:leader="none"/>
          <w:tab w:val="left" w:pos="3900" w:leader="none"/>
          <w:tab w:val="left" w:pos="3969" w:leader="none"/>
          <w:tab w:val="left" w:pos="4253" w:leader="none"/>
          <w:tab w:val="left" w:pos="4536" w:leader="none"/>
        </w:tabs>
        <w:ind w:left="3900" w:hanging="498"/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dle čl. 5.4 PNE 33 0000-2/ 4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1080" w:leader="none"/>
          <w:tab w:val="left" w:pos="3261" w:leader="none"/>
          <w:tab w:val="left" w:pos="3969" w:leader="none"/>
        </w:tabs>
        <w:jc w:val="both"/>
        <w:outlineLvl w:val="3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  <w:u w:val="single"/>
        </w:rPr>
        <w:t>- z hlediska úrazu el. proudem</w:t>
        <w:tab/>
      </w:r>
      <w:r>
        <w:rPr>
          <w:rFonts w:cs="Arial" w:ascii="Arial" w:hAnsi="Arial"/>
          <w:sz w:val="22"/>
          <w:szCs w:val="22"/>
        </w:rPr>
        <w:t xml:space="preserve">: nebezpečný </w:t>
      </w:r>
    </w:p>
    <w:p>
      <w:pPr>
        <w:pStyle w:val="Normal"/>
        <w:keepNext w:val="true"/>
        <w:numPr>
          <w:ilvl w:val="0"/>
          <w:numId w:val="1"/>
        </w:numPr>
        <w:tabs>
          <w:tab w:val="clear" w:pos="708"/>
          <w:tab w:val="left" w:pos="3261" w:leader="none"/>
          <w:tab w:val="left" w:pos="3544" w:leader="none"/>
          <w:tab w:val="left" w:pos="3900" w:leader="none"/>
          <w:tab w:val="left" w:pos="3969" w:leader="none"/>
          <w:tab w:val="left" w:pos="4253" w:leader="none"/>
          <w:tab w:val="left" w:pos="4536" w:leader="none"/>
        </w:tabs>
        <w:ind w:left="3900" w:hanging="498"/>
        <w:outlineLvl w:val="3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dle PNE 33 0000-1/5 a ČSN 33 2000-4-41/2</w:t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</w:r>
    </w:p>
    <w:p>
      <w:pPr>
        <w:pStyle w:val="Normal"/>
        <w:jc w:val="both"/>
        <w:rPr>
          <w:rFonts w:ascii="Arial" w:hAnsi="Arial" w:cs="Arial"/>
          <w:b/>
          <w:b/>
          <w:sz w:val="22"/>
        </w:rPr>
      </w:pPr>
      <w:r>
        <w:rPr>
          <w:rFonts w:cs="Arial" w:ascii="Arial" w:hAnsi="Arial"/>
          <w:b/>
          <w:sz w:val="22"/>
        </w:rPr>
        <w:t>Ochranná pásma el. zařízení  -  dle zák. 458/ 2000 Sb. (*) – platná od 1.1.2001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jc w:val="both"/>
        <w:rPr/>
      </w:pPr>
      <w:r>
        <w:rPr>
          <w:rFonts w:cs="Arial" w:ascii="Arial" w:hAnsi="Arial"/>
          <w:sz w:val="22"/>
        </w:rPr>
        <w:t>- venkovního vedení vn 22kV:</w:t>
        <w:tab/>
        <w:t>7m od krajního vodiče</w:t>
        <w:tab/>
        <w:tab/>
        <w:t>- holé vedení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ab/>
        <w:tab/>
        <w:t>2m</w:t>
        <w:tab/>
        <w:tab/>
        <w:t>-„-</w:t>
        <w:tab/>
        <w:tab/>
        <w:tab/>
        <w:tab/>
        <w:t>- izolované vedení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ab/>
        <w:tab/>
        <w:t>1m</w:t>
        <w:tab/>
        <w:tab/>
        <w:t>-„-</w:t>
        <w:tab/>
        <w:tab/>
        <w:tab/>
        <w:tab/>
        <w:t>- závěsný kabel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- el. stanice 22/0,4kV</w:t>
        <w:tab/>
        <w:tab/>
        <w:t xml:space="preserve">: </w:t>
        <w:tab/>
        <w:t>7m okolo konstrukce</w:t>
        <w:tab/>
        <w:tab/>
        <w:t>- stožárové a věžové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  <w:tab w:val="left" w:pos="4140" w:leader="none"/>
        </w:tabs>
        <w:ind w:left="2836" w:right="-284" w:hanging="2835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ab/>
        <w:tab/>
        <w:t>2m okolo stanice</w:t>
        <w:tab/>
        <w:tab/>
        <w:tab/>
        <w:t>- zděné a kompaktní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ab/>
        <w:tab/>
        <w:t>1m okolo obestavění</w:t>
        <w:tab/>
        <w:tab/>
        <w:t>- vestavěné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rPr/>
      </w:pPr>
      <w:r>
        <w:rPr>
          <w:rFonts w:cs="Arial" w:ascii="Arial" w:hAnsi="Arial"/>
          <w:sz w:val="22"/>
        </w:rPr>
        <w:t>- kabelové podzemní vedení</w:t>
        <w:tab/>
        <w:t>:</w:t>
        <w:tab/>
        <w:t>1m po obou stranách kabelu</w:t>
        <w:tab/>
        <w:t>- do 110kV včetně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ab/>
        <w:tab/>
        <w:tab/>
        <w:tab/>
        <w:t>3m po obou stranách kabelu</w:t>
        <w:tab/>
        <w:t xml:space="preserve">- nad 110kV 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rPr/>
      </w:pPr>
      <w:r>
        <w:rPr>
          <w:rFonts w:cs="Arial" w:ascii="Arial" w:hAnsi="Arial"/>
          <w:sz w:val="22"/>
        </w:rPr>
        <w:t xml:space="preserve">- sdělovací vedení </w:t>
      </w:r>
      <w:r>
        <w:rPr>
          <w:rFonts w:cs="Arial" w:ascii="Arial" w:hAnsi="Arial"/>
          <w:b/>
          <w:sz w:val="22"/>
        </w:rPr>
        <w:t>(**)</w:t>
      </w:r>
      <w:r>
        <w:rPr>
          <w:rFonts w:cs="Arial" w:ascii="Arial" w:hAnsi="Arial"/>
          <w:sz w:val="22"/>
        </w:rPr>
        <w:tab/>
        <w:t>:</w:t>
        <w:tab/>
        <w:t>1m po obou stranách kabelu</w:t>
      </w:r>
    </w:p>
    <w:p>
      <w:pPr>
        <w:pStyle w:val="Normal"/>
        <w:tabs>
          <w:tab w:val="clear" w:pos="708"/>
          <w:tab w:val="left" w:pos="993" w:leader="none"/>
          <w:tab w:val="left" w:pos="1560" w:leader="none"/>
          <w:tab w:val="left" w:pos="2127" w:leader="none"/>
          <w:tab w:val="left" w:pos="3240" w:leader="none"/>
          <w:tab w:val="left" w:pos="3600" w:leader="none"/>
          <w:tab w:val="left" w:pos="3960" w:leader="none"/>
        </w:tabs>
        <w:ind w:left="2836" w:right="-284" w:hanging="2835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360" w:leader="none"/>
        </w:tabs>
        <w:rPr/>
      </w:pPr>
      <w:r>
        <w:rPr>
          <w:rFonts w:cs="Arial" w:ascii="Arial" w:hAnsi="Arial"/>
          <w:i/>
          <w:sz w:val="16"/>
          <w:szCs w:val="16"/>
        </w:rPr>
        <w:t xml:space="preserve">*  </w:t>
        <w:tab/>
        <w:t>- pro zařízení vybudovaná do r. 2000 platí vzdálenosti a podmínky ochrany dle zák. č.222/1994 Sb.</w:t>
      </w:r>
    </w:p>
    <w:p>
      <w:pPr>
        <w:pStyle w:val="Normal"/>
        <w:tabs>
          <w:tab w:val="clear" w:pos="708"/>
          <w:tab w:val="left" w:pos="360" w:leader="none"/>
        </w:tabs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ab/>
        <w:t>- pro zařízení vybudovaná do r. 1994 platí vzdálenosti a podmínky ochrany dle zák. č.79/1957 Sb.</w:t>
      </w:r>
    </w:p>
    <w:p>
      <w:pPr>
        <w:pStyle w:val="Normal"/>
        <w:tabs>
          <w:tab w:val="clear" w:pos="708"/>
          <w:tab w:val="left" w:pos="360" w:leader="none"/>
        </w:tabs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** </w:t>
        <w:tab/>
        <w:t>- tj.  zařízení vlastní telekomunikační sítě držitele licence a vedení řídící, měřící a zabezpečovací techniky</w:t>
      </w:r>
    </w:p>
    <w:p>
      <w:pPr>
        <w:pStyle w:val="Normal"/>
        <w:tabs>
          <w:tab w:val="clear" w:pos="708"/>
          <w:tab w:val="left" w:pos="360" w:leader="none"/>
        </w:tabs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rPr>
          <w:rFonts w:ascii="Arial" w:hAnsi="Arial" w:cs="Arial"/>
          <w:b/>
          <w:b/>
          <w:i/>
          <w:i/>
          <w:smallCaps/>
          <w:sz w:val="24"/>
          <w:szCs w:val="16"/>
          <w:u w:val="single"/>
        </w:rPr>
      </w:pPr>
      <w:r>
        <w:rPr>
          <w:rFonts w:cs="Arial" w:ascii="Arial" w:hAnsi="Arial"/>
          <w:b/>
          <w:i/>
          <w:smallCaps/>
          <w:sz w:val="24"/>
          <w:szCs w:val="16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Souhrnné technické údaje :</w:t>
      </w:r>
    </w:p>
    <w:p>
      <w:pPr>
        <w:pStyle w:val="Zkladntext2"/>
        <w:tabs>
          <w:tab w:val="left" w:pos="567" w:leader="none"/>
          <w:tab w:val="left" w:pos="2835" w:leader="none"/>
          <w:tab w:val="left" w:pos="3261" w:leader="none"/>
        </w:tabs>
        <w:ind w:left="360" w:hanging="0"/>
        <w:rPr>
          <w:rFonts w:ascii="Arial" w:hAnsi="Arial" w:cs="Arial"/>
          <w:b/>
          <w:b/>
          <w:smallCaps/>
          <w:sz w:val="20"/>
          <w:u w:val="single"/>
        </w:rPr>
      </w:pPr>
      <w:r>
        <w:rPr>
          <w:rFonts w:cs="Arial" w:ascii="Arial" w:hAnsi="Arial"/>
          <w:b/>
          <w:smallCaps/>
          <w:sz w:val="20"/>
          <w:u w:val="single"/>
        </w:rPr>
      </w:r>
    </w:p>
    <w:p>
      <w:pPr>
        <w:pStyle w:val="Titulek"/>
        <w:spacing w:before="0" w:after="0"/>
        <w:jc w:val="both"/>
        <w:rPr/>
      </w:pPr>
      <w:r>
        <w:rPr>
          <w:rFonts w:cs="Arial" w:ascii="Arial" w:hAnsi="Arial"/>
          <w:bCs w:val="false"/>
          <w:sz w:val="22"/>
          <w:szCs w:val="22"/>
          <w:u w:val="single"/>
        </w:rPr>
        <w:t>Kabelové rozvody VN 22kV</w:t>
      </w:r>
    </w:p>
    <w:p>
      <w:pPr>
        <w:pStyle w:val="Normal"/>
        <w:tabs>
          <w:tab w:val="clear" w:pos="708"/>
          <w:tab w:val="left" w:pos="4536" w:leader="none"/>
        </w:tabs>
        <w:rPr>
          <w:rFonts w:ascii="Arial" w:hAnsi="Arial" w:cs="Arial"/>
          <w:b/>
          <w:b/>
          <w:bCs/>
          <w:caps/>
          <w:sz w:val="22"/>
          <w:szCs w:val="22"/>
          <w:u w:val="single"/>
        </w:rPr>
      </w:pPr>
      <w:r>
        <w:rPr>
          <w:rFonts w:cs="Arial" w:ascii="Arial" w:hAnsi="Arial"/>
          <w:b/>
          <w:bCs/>
          <w:caps/>
          <w:sz w:val="22"/>
          <w:szCs w:val="22"/>
          <w:u w:val="single"/>
        </w:rPr>
      </w:r>
    </w:p>
    <w:p>
      <w:pPr>
        <w:pStyle w:val="Normal"/>
        <w:jc w:val="both"/>
        <w:rPr/>
      </w:pPr>
      <w:r>
        <w:rPr/>
        <w:t xml:space="preserve">Provozní napětí </w:t>
        <w:tab/>
        <w:t xml:space="preserve">- VN : </w:t>
        <w:tab/>
        <w:t>22kV, 50Hz, síť IT</w:t>
        <w:tab/>
      </w:r>
    </w:p>
    <w:tbl>
      <w:tblPr>
        <w:tblW w:w="6106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8"/>
        <w:gridCol w:w="2137"/>
      </w:tblGrid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2"/>
                <w:szCs w:val="22"/>
              </w:rPr>
              <w:t>Zemní kabel 22-NA2XS2Y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sz w:val="22"/>
                <w:szCs w:val="22"/>
              </w:rPr>
              <w:t>kabel [m]</w:t>
            </w:r>
          </w:p>
        </w:tc>
      </w:tr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spacing w:lineRule="atLeast" w:line="240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0</w:t>
            </w:r>
          </w:p>
        </w:tc>
      </w:tr>
    </w:tbl>
    <w:p>
      <w:pPr>
        <w:pStyle w:val="Normal"/>
        <w:rPr>
          <w:rFonts w:ascii="Arial" w:hAnsi="Arial" w:cs="Arial"/>
          <w:b/>
          <w:b/>
          <w:smallCaps/>
          <w:sz w:val="24"/>
          <w:szCs w:val="24"/>
          <w:u w:val="single"/>
        </w:rPr>
      </w:pPr>
      <w:r>
        <w:rPr>
          <w:rFonts w:cs="Arial" w:ascii="Arial" w:hAnsi="Arial"/>
          <w:b/>
          <w:smallCaps/>
          <w:sz w:val="24"/>
          <w:szCs w:val="24"/>
          <w:u w:val="single"/>
        </w:rPr>
      </w:r>
    </w:p>
    <w:tbl>
      <w:tblPr>
        <w:tblW w:w="6106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8"/>
        <w:gridCol w:w="2137"/>
      </w:tblGrid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q-AL"/>
              </w:rPr>
              <w:t>Zemní práce pro VN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q-AL"/>
              </w:rPr>
              <w:t>délka [m]</w:t>
            </w:r>
          </w:p>
        </w:tc>
      </w:tr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sz w:val="22"/>
                <w:szCs w:val="22"/>
                <w:lang w:val="sq-AL"/>
              </w:rPr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0</w:t>
            </w:r>
          </w:p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</w:r>
          </w:p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sz w:val="22"/>
                <w:szCs w:val="22"/>
                <w:lang w:val="sq-AL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itulek"/>
        <w:spacing w:before="0" w:after="0"/>
        <w:jc w:val="both"/>
        <w:rPr>
          <w:rFonts w:ascii="Arial" w:hAnsi="Arial" w:cs="Arial"/>
          <w:bCs w:val="false"/>
          <w:sz w:val="22"/>
          <w:szCs w:val="22"/>
          <w:u w:val="single"/>
        </w:rPr>
      </w:pPr>
      <w:r>
        <w:rPr>
          <w:rFonts w:cs="Arial" w:ascii="Arial" w:hAnsi="Arial"/>
          <w:bCs w:val="false"/>
          <w:sz w:val="22"/>
          <w:szCs w:val="22"/>
          <w:u w:val="single"/>
        </w:rPr>
        <w:t>Kabelové rozvody NN 400/230V</w:t>
      </w:r>
    </w:p>
    <w:p>
      <w:pPr>
        <w:pStyle w:val="Normal"/>
        <w:jc w:val="both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cs="Arial" w:ascii="Arial" w:hAnsi="Arial"/>
          <w:bCs/>
          <w:sz w:val="22"/>
          <w:szCs w:val="22"/>
          <w:u w:val="single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6106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8"/>
        <w:gridCol w:w="2137"/>
      </w:tblGrid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  <w:t xml:space="preserve">Zemní kabel NAYY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sz w:val="22"/>
                <w:szCs w:val="22"/>
              </w:rPr>
              <w:t>kabel [m]</w:t>
            </w:r>
          </w:p>
        </w:tc>
      </w:tr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spacing w:lineRule="atLeast" w:line="240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NAYY 4x240 mm2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50</w:t>
            </w:r>
          </w:p>
        </w:tc>
      </w:tr>
    </w:tbl>
    <w:p>
      <w:pPr>
        <w:pStyle w:val="Normal"/>
        <w:rPr>
          <w:rFonts w:ascii="Arial" w:hAnsi="Arial" w:cs="Arial"/>
          <w:b/>
          <w:b/>
          <w:smallCaps/>
          <w:sz w:val="24"/>
          <w:szCs w:val="24"/>
          <w:u w:val="single"/>
        </w:rPr>
      </w:pPr>
      <w:r>
        <w:rPr>
          <w:rFonts w:cs="Arial" w:ascii="Arial" w:hAnsi="Arial"/>
          <w:b/>
          <w:smallCaps/>
          <w:sz w:val="24"/>
          <w:szCs w:val="24"/>
          <w:u w:val="single"/>
        </w:rPr>
      </w:r>
    </w:p>
    <w:tbl>
      <w:tblPr>
        <w:tblW w:w="6106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8"/>
        <w:gridCol w:w="2137"/>
      </w:tblGrid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Arial" w:ascii="Arial" w:hAnsi="Arial"/>
                <w:b/>
                <w:sz w:val="22"/>
                <w:szCs w:val="22"/>
                <w:lang w:val="sq-AL"/>
              </w:rPr>
              <w:t>Zemní práce pro NN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q-AL"/>
              </w:rPr>
              <w:t>délka [m]</w:t>
            </w:r>
          </w:p>
        </w:tc>
      </w:tr>
      <w:tr>
        <w:trPr>
          <w:trHeight w:val="340" w:hRule="exact"/>
          <w:cantSplit w:val="true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8D8D8" w:val="clear"/>
            <w:vAlign w:val="center"/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sz w:val="22"/>
                <w:szCs w:val="22"/>
                <w:lang w:val="sq-AL"/>
              </w:rPr>
              <w:t>výkopy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  <w:t>45</w:t>
            </w:r>
          </w:p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cs="Arial" w:ascii="Arial" w:hAnsi="Arial"/>
                <w:sz w:val="22"/>
              </w:rPr>
            </w:r>
          </w:p>
          <w:p>
            <w:pPr>
              <w:pStyle w:val="Normal"/>
              <w:spacing w:lineRule="atLeast" w:line="240"/>
              <w:jc w:val="center"/>
              <w:rPr>
                <w:rFonts w:ascii="Arial" w:hAnsi="Arial" w:cs="Arial"/>
                <w:sz w:val="22"/>
                <w:szCs w:val="22"/>
                <w:lang w:val="sq-AL"/>
              </w:rPr>
            </w:pPr>
            <w:r>
              <w:rPr>
                <w:rFonts w:cs="Arial" w:ascii="Arial" w:hAnsi="Arial"/>
                <w:sz w:val="22"/>
                <w:szCs w:val="22"/>
                <w:lang w:val="sq-AL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szCs w:val="22"/>
          <w:u w:val="single"/>
        </w:rPr>
      </w:pPr>
      <w:r>
        <w:rPr>
          <w:rFonts w:cs="Arial" w:ascii="Arial" w:hAnsi="Arial"/>
          <w:b/>
          <w:smallCaps/>
          <w:sz w:val="24"/>
          <w:szCs w:val="22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Připojení do rozvodného systému</w:t>
      </w:r>
    </w:p>
    <w:p>
      <w:pPr>
        <w:pStyle w:val="Normal"/>
        <w:spacing w:before="120" w:after="0"/>
        <w:ind w:firstLine="567"/>
        <w:jc w:val="both"/>
        <w:rPr/>
      </w:pPr>
      <w:r>
        <w:rPr>
          <w:rFonts w:cs="Arial" w:ascii="Arial" w:hAnsi="Arial"/>
          <w:sz w:val="22"/>
          <w:szCs w:val="22"/>
        </w:rPr>
        <w:t>Připojení kabelů NN  do rozvodného systému  je patrné z výkresu 02</w:t>
      </w:r>
    </w:p>
    <w:p>
      <w:pPr>
        <w:pStyle w:val="Normal"/>
        <w:rPr>
          <w:rFonts w:ascii="Arial" w:hAnsi="Arial" w:cs="Arial"/>
          <w:sz w:val="24"/>
        </w:rPr>
      </w:pPr>
      <w:r>
        <w:rPr>
          <w:rFonts w:cs="Arial" w:ascii="Arial" w:hAnsi="Arial"/>
          <w:b/>
          <w:smallCaps/>
          <w:sz w:val="24"/>
          <w:u w:val="single"/>
        </w:rPr>
        <w:t>Popis trasy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567" w:leader="none"/>
        </w:tabs>
        <w:spacing w:before="120" w:after="0"/>
        <w:ind w:left="720" w:hanging="720"/>
        <w:rPr>
          <w:rFonts w:ascii="Arial" w:hAnsi="Arial" w:cs="Arial"/>
          <w:b/>
          <w:b/>
          <w:smallCaps/>
          <w:sz w:val="22"/>
          <w:szCs w:val="22"/>
          <w:u w:val="single"/>
        </w:rPr>
      </w:pPr>
      <w:r>
        <w:rPr>
          <w:rFonts w:cs="Arial" w:ascii="Arial" w:hAnsi="Arial"/>
          <w:b/>
          <w:smallCaps/>
          <w:sz w:val="22"/>
          <w:szCs w:val="22"/>
          <w:u w:val="single"/>
        </w:rPr>
        <w:t>obecně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  <w:sz w:val="22"/>
          <w:szCs w:val="22"/>
        </w:rPr>
        <w:t>Jedná se o přeložku kabelového vedení NN vymístěním ze stávající polohy ležící v budoucích parkovacích stání mimo ně do chodníku. Dále bude provedeno prodloužení všech stávajících chrániček kabelů NN a v místech překopů budou založeny vždy dvě tvrdé plastové chráničky typu KOPODUR DN 110 mm. Veškeré práce v ochranném pásmu vedení VN, TS, NN se budou provádět se souhlasem provozovatele – ECZR RS Brno.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  <w:szCs w:val="22"/>
          <w:lang w:val="sq-AL"/>
        </w:rPr>
      </w:pPr>
      <w:r>
        <w:rPr>
          <w:rFonts w:cs="Arial" w:ascii="Arial" w:hAnsi="Arial"/>
          <w:sz w:val="22"/>
          <w:szCs w:val="22"/>
          <w:lang w:val="sq-AL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  <w:tab w:val="left" w:pos="4536" w:leader="none"/>
        </w:tabs>
        <w:ind w:left="1080" w:hanging="0"/>
        <w:rPr>
          <w:rFonts w:ascii="Arial" w:hAnsi="Arial" w:cs="Arial"/>
          <w:sz w:val="22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  <w:t>Kabely NN do 1kV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Silové kabely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Světelná vzdálenost mezi souběžnými kabely 1 kV – 22 kV  je </w:t>
      </w:r>
      <w:r>
        <w:rPr>
          <w:rFonts w:cs="Arial" w:ascii="Arial" w:hAnsi="Arial"/>
          <w:b/>
          <w:i/>
          <w:sz w:val="22"/>
        </w:rPr>
        <w:t>20 cm</w:t>
      </w:r>
      <w:r>
        <w:rPr>
          <w:rFonts w:cs="Arial" w:ascii="Arial" w:hAnsi="Arial"/>
          <w:sz w:val="22"/>
        </w:rPr>
        <w:t xml:space="preserve"> – při souběhu i křížení. Při menších vzdálenostech se kabely oddělí ohnivzdornou přepážkou ( cihla, beton, deska ).Světelná vzdálenost mezi  kabely 1 kV – 1kV  je </w:t>
      </w:r>
      <w:r>
        <w:rPr>
          <w:rFonts w:cs="Arial" w:ascii="Arial" w:hAnsi="Arial"/>
          <w:b/>
          <w:i/>
          <w:sz w:val="22"/>
        </w:rPr>
        <w:t>5 cm</w:t>
      </w:r>
      <w:r>
        <w:rPr>
          <w:rFonts w:cs="Arial" w:ascii="Arial" w:hAnsi="Arial"/>
          <w:sz w:val="22"/>
        </w:rPr>
        <w:t xml:space="preserve"> – při souběhu i křížení.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Sdělovací kabely – sde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>Při odkrytí sdělovacích kabelů a při výkopech v jejich blízkosti je nutné vyžádat dozor správce kabelů.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PVKS Telefónica O2, TKR-UPC (Karneval)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souběhu i křížení je nutno dodržet minimální vzdálenost </w:t>
      </w:r>
      <w:r>
        <w:rPr>
          <w:rFonts w:cs="Arial" w:ascii="Arial" w:hAnsi="Arial"/>
          <w:b/>
          <w:i/>
          <w:sz w:val="22"/>
        </w:rPr>
        <w:t>30 cm</w:t>
      </w:r>
      <w:r>
        <w:rPr>
          <w:rFonts w:cs="Arial" w:ascii="Arial" w:hAnsi="Arial"/>
          <w:sz w:val="22"/>
        </w:rPr>
        <w:t xml:space="preserve">. Není-li možno tuto vzdálenost dodržet, uloží se kabely  1 kV do kabelových žlabů   s poklopem nebo rour ve vzdálenosti minimálně </w:t>
      </w:r>
      <w:r>
        <w:rPr>
          <w:rFonts w:cs="Arial" w:ascii="Arial" w:hAnsi="Arial"/>
          <w:b/>
          <w:i/>
          <w:sz w:val="22"/>
        </w:rPr>
        <w:t>10</w:t>
      </w:r>
      <w:r>
        <w:rPr>
          <w:rFonts w:cs="Arial" w:ascii="Arial" w:hAnsi="Arial"/>
          <w:sz w:val="22"/>
        </w:rPr>
        <w:t xml:space="preserve"> cm.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křížení se silový kabel uloží do beton.kabelových žlabů nebo rour s přesahem 1 m na obě strany od sde  ( čl. 11.7 ČSN 33 3301 ). . 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i/>
          <w:i/>
          <w:sz w:val="22"/>
        </w:rPr>
      </w:pPr>
      <w:r>
        <w:rPr>
          <w:rFonts w:cs="Arial" w:ascii="Arial" w:hAnsi="Arial"/>
          <w:b/>
          <w:smallCaps/>
          <w:u w:val="single"/>
        </w:rPr>
        <w:t>DOK SELF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souběhu i křížení je nutno dodržet minimální vzdálenost </w:t>
      </w:r>
      <w:r>
        <w:rPr>
          <w:rFonts w:cs="Arial" w:ascii="Arial" w:hAnsi="Arial"/>
          <w:b/>
          <w:i/>
          <w:sz w:val="22"/>
        </w:rPr>
        <w:t>50 cm.</w:t>
      </w:r>
      <w:r>
        <w:rPr>
          <w:rFonts w:cs="Arial" w:ascii="Arial" w:hAnsi="Arial"/>
          <w:sz w:val="22"/>
        </w:rPr>
        <w:t>. Není-li možno tuto vzdálenost dodržet, kontaktuje investor ( zhotovitel ) zodp. osobu SEFL s.r.o.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 xml:space="preserve">Při křížení se silový kabel i kabel DOK uloží do beton.kabelových žlabů nebo PE-H rour, obě  s přesahem 1 m , ve vzdál. </w:t>
      </w:r>
      <w:r>
        <w:rPr>
          <w:rFonts w:cs="Arial" w:ascii="Arial" w:hAnsi="Arial"/>
          <w:b/>
          <w:i/>
          <w:sz w:val="22"/>
        </w:rPr>
        <w:t>30cm</w:t>
      </w:r>
      <w:r>
        <w:rPr>
          <w:rFonts w:cs="Arial" w:ascii="Arial" w:hAnsi="Arial"/>
          <w:sz w:val="22"/>
        </w:rPr>
        <w:t xml:space="preserve"> pod kabel DOK. ,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Plynovod – ntl, stl, vtl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souběhu kabelu 1kV s nízkotlakým ( o přetlaku do 5kPa ) je nutno dodržet minimální vzdálenost </w:t>
      </w:r>
      <w:r>
        <w:rPr>
          <w:rFonts w:cs="Arial" w:ascii="Arial" w:hAnsi="Arial"/>
          <w:b/>
          <w:i/>
          <w:sz w:val="22"/>
        </w:rPr>
        <w:t>40 cm, se</w:t>
      </w:r>
      <w:r>
        <w:rPr>
          <w:rFonts w:cs="Arial" w:ascii="Arial" w:hAnsi="Arial"/>
          <w:sz w:val="22"/>
        </w:rPr>
        <w:t xml:space="preserve"> středotlakým plynovodním řadem (o přetlaku 5-400kPa) je nutno dodržet minimální vzdálenost </w:t>
      </w:r>
      <w:r>
        <w:rPr>
          <w:rFonts w:cs="Arial" w:ascii="Arial" w:hAnsi="Arial"/>
          <w:b/>
          <w:i/>
          <w:sz w:val="22"/>
        </w:rPr>
        <w:t>60 cm</w:t>
      </w:r>
      <w:r>
        <w:rPr>
          <w:rFonts w:cs="Arial" w:ascii="Arial" w:hAnsi="Arial"/>
          <w:sz w:val="22"/>
        </w:rPr>
        <w:t>.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křížení s NTL i STL dodržet min. vzdálenost </w:t>
      </w:r>
      <w:r>
        <w:rPr>
          <w:rFonts w:cs="Arial" w:ascii="Arial" w:hAnsi="Arial"/>
          <w:b/>
          <w:i/>
          <w:sz w:val="22"/>
        </w:rPr>
        <w:t>10 cm</w:t>
      </w:r>
      <w:r>
        <w:rPr>
          <w:rFonts w:cs="Arial" w:ascii="Arial" w:hAnsi="Arial"/>
          <w:sz w:val="22"/>
        </w:rPr>
        <w:t>. Při křížení se kabely uloží do kabelových betonových chrániček nebo žlabů, s přesahem 1 m na obě strany potrubí, pokud možno nad plynovodem.</w:t>
      </w:r>
    </w:p>
    <w:p>
      <w:pPr>
        <w:pStyle w:val="Tlotextu"/>
        <w:tabs>
          <w:tab w:val="left" w:pos="567" w:leader="none"/>
          <w:tab w:val="left" w:pos="2268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 xml:space="preserve">Při souběhu s VTL plynovodem ( o přetlaku nad 0,40MPa) je nutno dodržet minimální vzdálenost 4 m, při křížení 0,3 m ( dle Metodického pokynu č.5/2005 a ČSN 38 6410, tab.5). Kabely se při křížení uloží do chráničky nebo žlabů s přesahem 2 m na každou stranu potrubí. </w:t>
      </w:r>
    </w:p>
    <w:p>
      <w:pPr>
        <w:pStyle w:val="Tlotextu"/>
        <w:tabs>
          <w:tab w:val="left" w:pos="567" w:leader="none"/>
          <w:tab w:val="left" w:pos="2268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>V odůvodněných případech lze v případě souběhu kabel uložit ve vzdál. 3m, při použití vhodné chráničky s dostatečnou mech. pevností je možno vzdálenost snížit u vedení NN na 0,60m a u VN až na 1m.</w:t>
      </w:r>
    </w:p>
    <w:p>
      <w:pPr>
        <w:pStyle w:val="Tlotextu"/>
        <w:tabs>
          <w:tab w:val="left" w:pos="567" w:leader="none"/>
          <w:tab w:val="left" w:pos="2268" w:leader="none"/>
        </w:tabs>
        <w:jc w:val="both"/>
        <w:rPr/>
      </w:pPr>
      <w:r>
        <w:rPr>
          <w:rFonts w:cs="Arial" w:ascii="Arial" w:hAnsi="Arial"/>
          <w:sz w:val="22"/>
          <w:szCs w:val="22"/>
          <w:u w:val="single"/>
        </w:rPr>
        <w:t>Pozn.:</w:t>
      </w:r>
      <w:r>
        <w:rPr>
          <w:rFonts w:cs="Arial" w:ascii="Arial" w:hAnsi="Arial"/>
          <w:sz w:val="22"/>
          <w:szCs w:val="22"/>
        </w:rPr>
        <w:t xml:space="preserve">  Při křížení ss silových kabelů s PE plynovody musí být provedena i tepelná ochrana plynovodu. 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Vodovod - VAS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souběhu i křížení s kabelem do 1kV je minimální vzdálenost </w:t>
      </w:r>
      <w:r>
        <w:rPr>
          <w:rFonts w:cs="Arial" w:ascii="Arial" w:hAnsi="Arial"/>
          <w:b/>
          <w:i/>
          <w:sz w:val="22"/>
        </w:rPr>
        <w:t>40 cm</w:t>
      </w:r>
      <w:r>
        <w:rPr>
          <w:rFonts w:cs="Arial" w:ascii="Arial" w:hAnsi="Arial"/>
          <w:sz w:val="22"/>
        </w:rPr>
        <w:t xml:space="preserve">. Při křížení je možno zmenšit vzdálenost na </w:t>
      </w:r>
      <w:r>
        <w:rPr>
          <w:rFonts w:cs="Arial" w:ascii="Arial" w:hAnsi="Arial"/>
          <w:b/>
          <w:i/>
          <w:sz w:val="22"/>
        </w:rPr>
        <w:t>20 cm</w:t>
      </w:r>
      <w:r>
        <w:rPr>
          <w:rFonts w:cs="Arial" w:ascii="Arial" w:hAnsi="Arial"/>
          <w:sz w:val="22"/>
        </w:rPr>
        <w:t xml:space="preserve">. Silový kabel se pak uloží do kabelových žlabů nebo rour s přesahem 1 m na obě strany od potrubí.  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mallCaps/>
          <w:u w:val="single"/>
        </w:rPr>
      </w:pPr>
      <w:r>
        <w:rPr>
          <w:rFonts w:cs="Arial" w:ascii="Arial" w:hAnsi="Arial"/>
          <w:b/>
          <w:smallCaps/>
          <w:u w:val="single"/>
        </w:rPr>
        <w:t>Kanalizace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 xml:space="preserve">Při souběhu  je minimální vzdálenost </w:t>
      </w:r>
      <w:r>
        <w:rPr>
          <w:rFonts w:cs="Arial" w:ascii="Arial" w:hAnsi="Arial"/>
          <w:b/>
          <w:i/>
          <w:sz w:val="22"/>
        </w:rPr>
        <w:t>50 cm</w:t>
      </w:r>
      <w:r>
        <w:rPr>
          <w:rFonts w:cs="Arial" w:ascii="Arial" w:hAnsi="Arial"/>
          <w:sz w:val="22"/>
        </w:rPr>
        <w:t xml:space="preserve">, při křížení </w:t>
      </w:r>
      <w:r>
        <w:rPr>
          <w:rFonts w:cs="Arial" w:ascii="Arial" w:hAnsi="Arial"/>
          <w:b/>
          <w:i/>
          <w:sz w:val="22"/>
        </w:rPr>
        <w:t>30 cm</w:t>
      </w:r>
      <w:r>
        <w:rPr>
          <w:rFonts w:cs="Arial" w:ascii="Arial" w:hAnsi="Arial"/>
          <w:sz w:val="22"/>
        </w:rPr>
        <w:t>.  Kabel se uloží do chráničky nebo žlabu s poklopem s přesahem 1m na každou stranu potrubí.</w:t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Tlotextu"/>
        <w:tabs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z w:val="22"/>
          <w:u w:val="single"/>
        </w:rPr>
      </w:pPr>
      <w:r>
        <w:rPr>
          <w:rFonts w:cs="Arial" w:ascii="Arial" w:hAnsi="Arial"/>
          <w:b/>
          <w:smallCaps/>
          <w:u w:val="single"/>
        </w:rPr>
        <w:t xml:space="preserve">Tepelné vedení 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souběhu a křížení je minimální vzdálenost </w:t>
      </w:r>
      <w:r>
        <w:rPr>
          <w:rFonts w:cs="Arial" w:ascii="Arial" w:hAnsi="Arial"/>
          <w:b/>
          <w:i/>
          <w:sz w:val="22"/>
        </w:rPr>
        <w:t>30 cm.</w:t>
      </w:r>
      <w:r>
        <w:rPr>
          <w:rFonts w:cs="Arial" w:ascii="Arial" w:hAnsi="Arial"/>
          <w:sz w:val="22"/>
        </w:rPr>
        <w:t xml:space="preserve"> Kabely se uloží do azbestocementových rour s přesahem 1 m na obě strany potrubí. Svislou vzdálenost lze snížit na </w:t>
      </w:r>
      <w:r>
        <w:rPr>
          <w:rFonts w:cs="Arial" w:ascii="Arial" w:hAnsi="Arial"/>
          <w:b/>
          <w:i/>
          <w:sz w:val="22"/>
        </w:rPr>
        <w:t>10 cm</w:t>
      </w:r>
      <w:r>
        <w:rPr>
          <w:rFonts w:cs="Arial" w:ascii="Arial" w:hAnsi="Arial"/>
          <w:sz w:val="22"/>
        </w:rPr>
        <w:t xml:space="preserve"> při vložení tepelné izolace.</w:t>
      </w:r>
    </w:p>
    <w:p>
      <w:pPr>
        <w:pStyle w:val="Normal"/>
        <w:tabs>
          <w:tab w:val="clear" w:pos="708"/>
          <w:tab w:val="left" w:pos="930" w:leader="none"/>
          <w:tab w:val="left" w:pos="4536" w:leader="none"/>
        </w:tabs>
        <w:spacing w:before="120" w:after="0"/>
        <w:rPr>
          <w:rFonts w:ascii="Arial" w:hAnsi="Arial" w:cs="Arial"/>
          <w:b/>
          <w:b/>
          <w:sz w:val="22"/>
          <w:u w:val="single"/>
        </w:rPr>
      </w:pPr>
      <w:r>
        <w:rPr>
          <w:rFonts w:cs="Arial" w:ascii="Arial" w:hAnsi="Arial"/>
          <w:b/>
          <w:smallCaps/>
          <w:u w:val="single"/>
        </w:rPr>
        <w:t>Hromosvod</w:t>
      </w:r>
    </w:p>
    <w:p>
      <w:pPr>
        <w:pStyle w:val="Tlotextu"/>
        <w:tabs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Při křížení se zemním vedením hromosvodu se kabel uloží nad tímto vedením a v místě křižování od něho ve vzdálenosti alespoň </w:t>
      </w:r>
      <w:r>
        <w:rPr>
          <w:rFonts w:cs="Arial" w:ascii="Arial" w:hAnsi="Arial"/>
          <w:b/>
          <w:i/>
          <w:sz w:val="22"/>
        </w:rPr>
        <w:t>50 cm.</w:t>
      </w:r>
    </w:p>
    <w:p>
      <w:pPr>
        <w:pStyle w:val="Normal"/>
        <w:tabs>
          <w:tab w:val="clear" w:pos="708"/>
          <w:tab w:val="left" w:pos="567" w:leader="none"/>
          <w:tab w:val="left" w:pos="720" w:leader="none"/>
        </w:tabs>
        <w:rPr>
          <w:rFonts w:ascii="Arial" w:hAnsi="Arial" w:cs="Arial"/>
          <w:b/>
          <w:b/>
          <w:i/>
          <w:i/>
          <w:smallCaps/>
          <w:sz w:val="24"/>
          <w:u w:val="single"/>
        </w:rPr>
      </w:pPr>
      <w:r>
        <w:rPr>
          <w:rFonts w:cs="Arial" w:ascii="Arial" w:hAnsi="Arial"/>
          <w:b/>
          <w:i/>
          <w:smallCaps/>
          <w:sz w:val="24"/>
          <w:u w:val="single"/>
        </w:rPr>
      </w:r>
    </w:p>
    <w:p>
      <w:pPr>
        <w:pStyle w:val="Normal"/>
        <w:tabs>
          <w:tab w:val="clear" w:pos="708"/>
          <w:tab w:val="left" w:pos="567" w:leader="none"/>
          <w:tab w:val="left" w:pos="720" w:leader="none"/>
        </w:tabs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numPr>
          <w:ilvl w:val="0"/>
          <w:numId w:val="5"/>
        </w:numPr>
        <w:ind w:left="720" w:hanging="720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Demontáže</w:t>
      </w:r>
    </w:p>
    <w:p>
      <w:pPr>
        <w:pStyle w:val="Normal"/>
        <w:spacing w:lineRule="atLeast" w:line="240" w:before="120" w:after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  <w:u w:val="single"/>
        </w:rPr>
        <w:t>Bude provedena fyzická demontáž v rozsahu prováděné stavby</w:t>
      </w:r>
      <w:r>
        <w:rPr>
          <w:rFonts w:cs="Arial" w:ascii="Arial" w:hAnsi="Arial"/>
          <w:sz w:val="22"/>
        </w:rPr>
        <w:t>, vyplývá z montážních prací a bude provedena v souladu s montážními pracemi.</w:t>
      </w:r>
    </w:p>
    <w:p>
      <w:pPr>
        <w:pStyle w:val="Normal"/>
        <w:spacing w:lineRule="atLeast" w:line="240" w:before="120" w:after="0"/>
        <w:rPr/>
      </w:pPr>
      <w:r>
        <w:rPr>
          <w:rFonts w:cs="Arial" w:ascii="Arial" w:hAnsi="Arial"/>
          <w:sz w:val="22"/>
        </w:rPr>
        <w:t xml:space="preserve">Stávající kabel  typu </w:t>
      </w:r>
      <w:r>
        <w:rPr>
          <w:rFonts w:cs="Arial" w:ascii="Arial" w:hAnsi="Arial"/>
          <w:b/>
          <w:sz w:val="22"/>
          <w:szCs w:val="22"/>
        </w:rPr>
        <w:t xml:space="preserve"> NN  AYKY 3x240+120 mm2.</w:t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numPr>
          <w:ilvl w:val="0"/>
          <w:numId w:val="4"/>
        </w:numPr>
        <w:ind w:left="720" w:hanging="720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Zemní práce</w:t>
      </w:r>
    </w:p>
    <w:p>
      <w:pPr>
        <w:pStyle w:val="Normal"/>
        <w:rPr>
          <w:rFonts w:ascii="Arial" w:hAnsi="Arial" w:cs="Arial"/>
          <w:b/>
          <w:b/>
          <w:caps/>
          <w:sz w:val="24"/>
          <w:szCs w:val="24"/>
          <w:u w:val="single"/>
        </w:rPr>
      </w:pPr>
      <w:r>
        <w:rPr>
          <w:rFonts w:cs="Arial" w:ascii="Arial" w:hAnsi="Arial"/>
          <w:b/>
          <w:caps/>
          <w:sz w:val="24"/>
          <w:szCs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 xml:space="preserve">Obecné zásady  </w:t>
      </w:r>
    </w:p>
    <w:p>
      <w:pPr>
        <w:pStyle w:val="Normal"/>
        <w:spacing w:before="120" w:after="0"/>
        <w:ind w:firstLine="357"/>
        <w:rPr/>
      </w:pPr>
      <w:r>
        <w:rPr>
          <w:rFonts w:cs="Arial" w:ascii="Arial" w:hAnsi="Arial"/>
          <w:sz w:val="22"/>
          <w:szCs w:val="22"/>
        </w:rPr>
        <w:t>Při výkopových pracích budou dodrženy platné vyhlášky obce a příslušných orgánů Jihomoravského kraje – a to především: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color w:val="000000"/>
          <w:sz w:val="22"/>
          <w:szCs w:val="22"/>
        </w:rPr>
        <w:t xml:space="preserve">Stavba na silničním pozemku (vozovka, chodník, silniční zeleň, zářezové nebo násypové svahy, odvodňovací příkopy, opěrné zdi atd.) bude prováděna na základě stavebního povolení nebo ohlášení, na protokolárně převzatém staveništi a na základě rozhodnutí o zvláštním užívání komunikace.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Rozhodnutí o zvláštním užívání komunikace -ZUK- bude vydáno věcně příslušným silničním správním orgánem JmK – dle ustanovení § 40 zák. č. 13/ 1997 Sb., o pozemních komunikacích.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color w:val="000000"/>
          <w:sz w:val="22"/>
          <w:szCs w:val="22"/>
        </w:rPr>
        <w:t>Před zahájením prací požádá investor správce komunikace o fyzické předání komunikace a jejich součástí v obvodu staveniště. Po ukončení bude dotčená plocha uvedena do původního stavu a opět protokolárně předána. Protokol bude předložen příslušnému silničnímu správnímu úřadu, nejpozději do konce platnosti rozhodnutí o ZUK.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rPr/>
      </w:pPr>
      <w:r>
        <w:rPr>
          <w:rFonts w:cs="Arial" w:ascii="Arial" w:hAnsi="Arial"/>
          <w:b/>
          <w:smallCaps/>
          <w:sz w:val="24"/>
          <w:u w:val="single"/>
        </w:rPr>
        <w:t>POV  a  způsob provádění výkopových prací</w:t>
      </w:r>
    </w:p>
    <w:p>
      <w:pPr>
        <w:pStyle w:val="Normal"/>
        <w:rPr>
          <w:rFonts w:ascii="Arial" w:hAnsi="Arial" w:cs="Arial"/>
          <w:b/>
          <w:b/>
          <w:caps/>
          <w:sz w:val="16"/>
          <w:szCs w:val="16"/>
          <w:u w:val="single"/>
        </w:rPr>
      </w:pPr>
      <w:r>
        <w:rPr>
          <w:rFonts w:cs="Arial" w:ascii="Arial" w:hAnsi="Arial"/>
          <w:b/>
          <w:caps/>
          <w:sz w:val="16"/>
          <w:szCs w:val="16"/>
          <w:u w:val="single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Výkopové práce je nutné provádět tak, aby nedošlo k úrazu.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>Zhotovitel zajistí, aby náhradní komunikace a ohrazení staveniště na veřejných prostranstvích umožňovalo bezpečný pohyb osob s omezenou schopností pohybu a orientace.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 hlediska bezpečnosti a provádění stavebních výkopových prací budou dodržovány ustanovení vyhlášky 324/90 Sb. ČÚBP,  §17-28.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Při provádění zemních prací bude dodržena ČSN 73 3050 Zemní práce.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567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 xml:space="preserve">Výkopové práce </w:t>
      </w:r>
      <w:r>
        <w:rPr>
          <w:rFonts w:cs="Arial" w:ascii="Arial" w:hAnsi="Arial"/>
          <w:sz w:val="22"/>
          <w:szCs w:val="22"/>
          <w:u w:val="single"/>
        </w:rPr>
        <w:t>ve veřejných komunikačních plochách</w:t>
      </w:r>
      <w:r>
        <w:rPr>
          <w:rFonts w:cs="Arial" w:ascii="Arial" w:hAnsi="Arial"/>
          <w:sz w:val="22"/>
          <w:szCs w:val="22"/>
        </w:rPr>
        <w:t xml:space="preserve">  budou prováděny dle tlg. podmínek vlastníka n. správce.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  <w:u w:val="single"/>
        </w:rPr>
        <w:t>Před zahájením stavebních</w:t>
      </w:r>
      <w:r>
        <w:rPr>
          <w:rFonts w:cs="Arial" w:ascii="Arial" w:hAnsi="Arial"/>
          <w:sz w:val="22"/>
          <w:szCs w:val="22"/>
        </w:rPr>
        <w:t xml:space="preserve"> prací musí být staveniště protokolárně převzato od správce komunikace s příslušnými doklady ( SP n. ohlášení, ZUK )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  <w:u w:val="single"/>
        </w:rPr>
        <w:t xml:space="preserve">Po ukončení stavebních prací </w:t>
      </w:r>
      <w:r>
        <w:rPr>
          <w:rFonts w:cs="Arial" w:ascii="Arial" w:hAnsi="Arial"/>
          <w:sz w:val="22"/>
          <w:szCs w:val="22"/>
        </w:rPr>
        <w:t xml:space="preserve">bude stavba správcem kom. protokolárně převzata s příslušnými doklady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56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Po celou dobu realizace budou provizorně zabezpečeny vstupy  a vjezdy do dotčených objektů a  do garáží. Při výkopových pracích bude ponechán průchod pro pěší v šířce min. 1,5m , kde nebude možno dosáhnout šířky průchodu,  bude pěší provoz převeden na opačnou stranu ulice.  Prováděcí firma bude výkopové práce provádět po řádném oznámení rozsahu prací všem majitelům dotčených nemovitostí. </w:t>
      </w:r>
    </w:p>
    <w:p>
      <w:pPr>
        <w:pStyle w:val="Normal"/>
        <w:tabs>
          <w:tab w:val="clear" w:pos="708"/>
          <w:tab w:val="left" w:pos="567" w:leader="none"/>
        </w:tabs>
        <w:ind w:left="36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</w:t>
      </w:r>
      <w:r>
        <w:rPr>
          <w:rFonts w:cs="Arial" w:ascii="Arial" w:hAnsi="Arial"/>
          <w:sz w:val="22"/>
        </w:rPr>
        <w:t>vislé stěny výkopů ( montážní jámy protlaků ) budou zajištěny pažením v zastavěném území od hloubky 1,3 m a v nezastavěném území od hloubky 1,5 m.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56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Výkopy budou  mechanicky zabezpečeny zábranami, označeny výstražnou fólií a řádně osvětleny a označeny dopravním značením dle požadavků Policie ČR. </w:t>
      </w:r>
    </w:p>
    <w:p>
      <w:pPr>
        <w:pStyle w:val="Normal"/>
        <w:tabs>
          <w:tab w:val="clear" w:pos="708"/>
          <w:tab w:val="left" w:pos="567" w:leader="none"/>
        </w:tabs>
        <w:ind w:left="36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567" w:leader="none"/>
        </w:tabs>
        <w:ind w:left="36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 xml:space="preserve">Přechody komunikací budou přednostně prováděny bezvýkopovou technologií. Po dohodě se správcem komunikace za pomocí překopu po půlkách vozovky.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56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Předpokládaná doba realizace ( při otevřeném výkopu ) : </w:t>
        <w:tab/>
        <w:t>cca 30 pracovních dnů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1080" w:hanging="0"/>
        <w:rPr>
          <w:rFonts w:ascii="Arial" w:hAnsi="Arial" w:cs="Arial"/>
          <w:b/>
          <w:b/>
          <w:caps/>
          <w:sz w:val="22"/>
          <w:szCs w:val="22"/>
          <w:u w:val="single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Definitivní  a  provizorní Úpravy povrchu terénu</w:t>
      </w:r>
    </w:p>
    <w:p>
      <w:pPr>
        <w:pStyle w:val="Normal"/>
        <w:ind w:left="720" w:hanging="0"/>
        <w:rPr>
          <w:rFonts w:ascii="Arial" w:hAnsi="Arial" w:cs="Arial"/>
          <w:b/>
          <w:b/>
          <w:caps/>
          <w:sz w:val="22"/>
          <w:szCs w:val="22"/>
          <w:u w:val="single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>Definitivní úpravy povrchu ve veřejných komunikačních a zelených  plochách budou provedeny v souladu s technologickými postupy Brněnských komunikací a.s..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>Záruční lhůta je 48 měsíců od data zpětného předání silničního pozemku do správy správce komunikace ( obec, Město, BKOM, SUS JMK, obec … )</w:t>
      </w:r>
    </w:p>
    <w:p>
      <w:pPr>
        <w:pStyle w:val="Normal"/>
        <w:ind w:left="36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36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5"/>
        </w:numPr>
        <w:ind w:left="720" w:hanging="720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Ochrana zeleně</w:t>
      </w:r>
    </w:p>
    <w:p>
      <w:pPr>
        <w:pStyle w:val="Normal"/>
        <w:ind w:left="360" w:hanging="0"/>
        <w:rPr>
          <w:rFonts w:ascii="Arial" w:hAnsi="Arial" w:cs="Arial"/>
          <w:b/>
          <w:b/>
          <w:caps/>
          <w:sz w:val="24"/>
          <w:szCs w:val="24"/>
          <w:u w:val="single"/>
        </w:rPr>
      </w:pPr>
      <w:r>
        <w:rPr>
          <w:rFonts w:cs="Arial" w:ascii="Arial" w:hAnsi="Arial"/>
          <w:b/>
          <w:caps/>
          <w:sz w:val="24"/>
          <w:szCs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  <w:t>Obecné zásady</w:t>
      </w:r>
    </w:p>
    <w:p>
      <w:pPr>
        <w:pStyle w:val="Normal"/>
        <w:tabs>
          <w:tab w:val="clear" w:pos="708"/>
          <w:tab w:val="left" w:pos="540" w:leader="none"/>
        </w:tabs>
        <w:ind w:left="360" w:hanging="0"/>
        <w:rPr>
          <w:rFonts w:ascii="Arial" w:hAnsi="Arial" w:cs="Arial"/>
          <w:b/>
          <w:b/>
          <w:caps/>
          <w:sz w:val="22"/>
          <w:szCs w:val="22"/>
          <w:u w:val="single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</w:r>
    </w:p>
    <w:p>
      <w:pPr>
        <w:pStyle w:val="Normal"/>
        <w:tabs>
          <w:tab w:val="clear" w:pos="708"/>
          <w:tab w:val="left" w:pos="567" w:leader="none"/>
          <w:tab w:val="left" w:pos="709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ab/>
        <w:t>Bude dodržován zákon č. 114/1992 Sb. o ochraně přírody a krajiny a ČSN 83 9061 Vegetační úpravy  - ochrany stromů, porostů a ploch pro vegetaci při stavebních činnostech.</w:t>
      </w:r>
    </w:p>
    <w:p>
      <w:pPr>
        <w:pStyle w:val="Normal"/>
        <w:tabs>
          <w:tab w:val="clear" w:pos="708"/>
          <w:tab w:val="left" w:pos="567" w:leader="none"/>
        </w:tabs>
        <w:spacing w:before="120" w:after="0"/>
        <w:jc w:val="both"/>
        <w:rPr>
          <w:rFonts w:ascii="Arial" w:hAnsi="Arial" w:cs="Arial"/>
          <w:sz w:val="22"/>
          <w:szCs w:val="22"/>
          <w:lang w:val="sq-AL"/>
        </w:rPr>
      </w:pPr>
      <w:r>
        <w:rPr>
          <w:rFonts w:cs="Arial" w:ascii="Arial" w:hAnsi="Arial"/>
          <w:sz w:val="22"/>
          <w:szCs w:val="22"/>
        </w:rPr>
        <w:tab/>
        <w:t xml:space="preserve">V případě nezbytné asanace dřevin (keřů) rostoucích v trase stáv. kabelových vedení je nutné postupovat dle §8 zák. č.460/2004, o ochr. přírody a krajiny, ve znění pozdějších novel a prováděcích vyhlášek. </w:t>
      </w:r>
      <w:r>
        <w:rPr>
          <w:rFonts w:cs="Arial" w:ascii="Arial" w:hAnsi="Arial"/>
          <w:sz w:val="22"/>
        </w:rPr>
        <w:tab/>
      </w:r>
    </w:p>
    <w:p>
      <w:pPr>
        <w:pStyle w:val="Normal"/>
        <w:tabs>
          <w:tab w:val="clear" w:pos="708"/>
          <w:tab w:val="left" w:pos="567" w:leader="none"/>
          <w:tab w:val="left" w:pos="709" w:leader="none"/>
        </w:tabs>
        <w:jc w:val="both"/>
        <w:rPr/>
      </w:pPr>
      <w:r>
        <w:rPr>
          <w:rFonts w:cs="Arial" w:ascii="Arial" w:hAnsi="Arial"/>
          <w:sz w:val="22"/>
          <w:szCs w:val="22"/>
        </w:rPr>
        <w:tab/>
        <w:t>Při realizaci stavby vvVN v uvedené lokalitě se využijí stávající lesní průseky. Kde budou provedeny udržovací práce (průklest a ořezání větví).</w:t>
      </w:r>
    </w:p>
    <w:p>
      <w:pPr>
        <w:pStyle w:val="Normal"/>
        <w:tabs>
          <w:tab w:val="clear" w:pos="708"/>
          <w:tab w:val="left" w:pos="709" w:leader="none"/>
        </w:tabs>
        <w:ind w:firstLine="539"/>
        <w:jc w:val="both"/>
        <w:rPr/>
      </w:pPr>
      <w:r>
        <w:rPr>
          <w:rFonts w:cs="Arial" w:ascii="Arial" w:hAnsi="Arial"/>
          <w:sz w:val="22"/>
          <w:szCs w:val="22"/>
        </w:rPr>
        <w:t xml:space="preserve">Výkopové práce v blízkosti dřevin a zeleně je nutné </w:t>
      </w:r>
      <w:r>
        <w:rPr>
          <w:rFonts w:cs="Arial" w:ascii="Arial" w:hAnsi="Arial"/>
          <w:sz w:val="22"/>
          <w:szCs w:val="22"/>
          <w:u w:val="single"/>
        </w:rPr>
        <w:t>provádět ručně</w:t>
      </w:r>
      <w:r>
        <w:rPr>
          <w:rFonts w:cs="Arial" w:ascii="Arial" w:hAnsi="Arial"/>
          <w:sz w:val="22"/>
          <w:szCs w:val="22"/>
        </w:rPr>
        <w:t xml:space="preserve"> se zvýšenou opatrností, aby nedošlo k jejich narušení jejich kořenového systému.</w:t>
      </w:r>
    </w:p>
    <w:p>
      <w:pPr>
        <w:pStyle w:val="Normal"/>
        <w:tabs>
          <w:tab w:val="clear" w:pos="708"/>
          <w:tab w:val="left" w:pos="54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b/>
          <w:i/>
          <w:sz w:val="22"/>
          <w:szCs w:val="22"/>
        </w:rPr>
        <w:t xml:space="preserve">Vzájemná  vzdálenost </w:t>
      </w:r>
      <w:r>
        <w:rPr>
          <w:rFonts w:cs="Arial" w:ascii="Arial" w:hAnsi="Arial"/>
          <w:sz w:val="22"/>
          <w:szCs w:val="22"/>
        </w:rPr>
        <w:t xml:space="preserve"> vedení  tras  nebo jejich ochranné  konstrukce  a   stromů  či  keřů  nesmí  být  menší   než  2,5m – dle ČSN 83 9061/ 2006.</w:t>
      </w:r>
    </w:p>
    <w:p>
      <w:pPr>
        <w:pStyle w:val="Normal"/>
        <w:tabs>
          <w:tab w:val="clear" w:pos="708"/>
          <w:tab w:val="left" w:pos="54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5"/>
        </w:numPr>
        <w:ind w:left="720" w:hanging="720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 xml:space="preserve">Zajištění bezpečnosti práce     </w:t>
      </w:r>
    </w:p>
    <w:p>
      <w:pPr>
        <w:pStyle w:val="Normal"/>
        <w:rPr>
          <w:rFonts w:ascii="Arial" w:hAnsi="Arial" w:cs="Arial"/>
          <w:b/>
          <w:b/>
          <w:smallCaps/>
          <w:sz w:val="16"/>
          <w:szCs w:val="16"/>
          <w:u w:val="single"/>
        </w:rPr>
      </w:pPr>
      <w:r>
        <w:rPr>
          <w:rFonts w:cs="Arial" w:ascii="Arial" w:hAnsi="Arial"/>
          <w:b/>
          <w:smallCaps/>
          <w:sz w:val="16"/>
          <w:szCs w:val="16"/>
          <w:u w:val="single"/>
        </w:rPr>
      </w:r>
    </w:p>
    <w:p>
      <w:pPr>
        <w:pStyle w:val="Normal"/>
        <w:tabs>
          <w:tab w:val="clear" w:pos="708"/>
          <w:tab w:val="left" w:pos="567" w:leader="none"/>
          <w:tab w:val="left" w:pos="720" w:leader="none"/>
        </w:tabs>
        <w:ind w:firstLine="540"/>
        <w:jc w:val="both"/>
        <w:rPr/>
      </w:pP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sz w:val="22"/>
          <w:szCs w:val="22"/>
        </w:rPr>
        <w:t xml:space="preserve">Stavba bude realizována za dodržení bezpečnostních předpisů a norem ČSN EN 50110-1,2 (34 3100) a PNE 33 0000-6 a všech dalších nařízení s nimi souvisejících dalších nařízení s nimi souvisejících. </w:t>
      </w:r>
    </w:p>
    <w:p>
      <w:pPr>
        <w:pStyle w:val="Normal"/>
        <w:tabs>
          <w:tab w:val="clear" w:pos="708"/>
          <w:tab w:val="left" w:pos="567" w:leader="none"/>
          <w:tab w:val="left" w:pos="720" w:leader="none"/>
        </w:tabs>
        <w:ind w:firstLine="540"/>
        <w:jc w:val="both"/>
        <w:rPr/>
      </w:pPr>
      <w:r>
        <w:rPr>
          <w:rFonts w:cs="Arial" w:ascii="Arial" w:hAnsi="Arial"/>
          <w:sz w:val="22"/>
          <w:szCs w:val="22"/>
        </w:rPr>
        <w:t>Při práci je nutné dodržovat zákon 309/2006 Sb. o zajištění bezpečnosti a ochrany zdraví při práci a nařízení vlády 591/2006 Sb. o minimálních požadavcích na bezpečnost a ochranu zdraví při práci na staveništi.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sz w:val="22"/>
        </w:rPr>
        <w:t>Pro obsluhu a práci na ( nebo s ) el. zařízeních nebo v jejich blízkosti , s úrovní napětí od malého až po vysoké platí zejména ČSN</w:t>
      </w:r>
      <w:r>
        <w:rPr>
          <w:rFonts w:cs="Arial" w:ascii="Arial" w:hAnsi="Arial"/>
          <w:b/>
          <w:i/>
          <w:sz w:val="22"/>
        </w:rPr>
        <w:t xml:space="preserve"> </w:t>
      </w:r>
      <w:r>
        <w:rPr>
          <w:rFonts w:cs="Arial" w:ascii="Arial" w:hAnsi="Arial"/>
          <w:sz w:val="22"/>
        </w:rPr>
        <w:t>EN 50110-1, ed.2/ 07/2005.</w:t>
      </w:r>
    </w:p>
    <w:p>
      <w:pPr>
        <w:pStyle w:val="Normal"/>
        <w:tabs>
          <w:tab w:val="clear" w:pos="708"/>
          <w:tab w:val="left" w:pos="567" w:leader="none"/>
        </w:tabs>
        <w:ind w:firstLine="540"/>
        <w:jc w:val="both"/>
        <w:rPr/>
      </w:pPr>
      <w:r>
        <w:rPr>
          <w:rFonts w:cs="Arial" w:ascii="Arial" w:hAnsi="Arial"/>
          <w:sz w:val="22"/>
        </w:rPr>
        <w:tab/>
        <w:t xml:space="preserve">Realizace díla bude provedeno dle schválené projektové dokumentace, dle podmínek stavebního povolení a podmínek schvalujících orgánů, v souladu s platnými normami ČSN, ČN, EN a ISO a ostatními souvisejícími předpisy. </w:t>
      </w:r>
    </w:p>
    <w:p>
      <w:pPr>
        <w:pStyle w:val="Normal"/>
        <w:tabs>
          <w:tab w:val="clear" w:pos="708"/>
          <w:tab w:val="left" w:pos="567" w:leader="none"/>
        </w:tabs>
        <w:ind w:firstLine="540"/>
        <w:jc w:val="both"/>
        <w:rPr/>
      </w:pPr>
      <w:r>
        <w:rPr>
          <w:rFonts w:cs="Arial" w:ascii="Arial" w:hAnsi="Arial"/>
          <w:b/>
          <w:sz w:val="22"/>
        </w:rPr>
        <w:tab/>
        <w:t>Při provádění stavebně – montážních pracích musí být dodrženy normy a pracovní postupy, týkající se bezpečnosti a ochrany zdraví při práci, uvedené v „ Plánu BOZP „, který je nedílnou součástí PD.</w:t>
      </w:r>
    </w:p>
    <w:p>
      <w:pPr>
        <w:pStyle w:val="Normal"/>
        <w:tabs>
          <w:tab w:val="clear" w:pos="708"/>
          <w:tab w:val="left" w:pos="567" w:leader="none"/>
          <w:tab w:val="left" w:pos="709" w:leader="none"/>
        </w:tabs>
        <w:ind w:firstLine="540"/>
        <w:jc w:val="both"/>
        <w:rPr/>
      </w:pPr>
      <w:r>
        <w:rPr>
          <w:rFonts w:cs="Arial" w:ascii="Arial" w:hAnsi="Arial"/>
          <w:sz w:val="22"/>
        </w:rPr>
        <w:tab/>
        <w:t xml:space="preserve">Veškeré manipulace v síti se budou provádět v dohodě a spolupráci s  ECZR RS  Brno. Při realizaci stavby budou dodržovány podmínky pro práce v ochranném pásmu kabelového vedení VN, NN, v souladu se zák. č. 458/ 2000 Sb.  </w:t>
      </w:r>
    </w:p>
    <w:p>
      <w:pPr>
        <w:pStyle w:val="Normal"/>
        <w:tabs>
          <w:tab w:val="clear" w:pos="708"/>
          <w:tab w:val="left" w:pos="567" w:leader="none"/>
        </w:tabs>
        <w:ind w:firstLine="540"/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>Kvalifikace pracovníků pro obsluhu a pro práci na el. zařízeních musí být v souladu s vyhl. ČÚBP č. 50/78 Sb.</w:t>
      </w:r>
    </w:p>
    <w:p>
      <w:pPr>
        <w:pStyle w:val="Normal"/>
        <w:ind w:left="705" w:hanging="0"/>
        <w:rPr>
          <w:rFonts w:ascii="Arial" w:hAnsi="Arial" w:cs="Arial"/>
          <w:b/>
          <w:b/>
          <w:sz w:val="24"/>
          <w:szCs w:val="24"/>
          <w:u w:val="single"/>
        </w:rPr>
      </w:pPr>
      <w:r>
        <w:rPr>
          <w:rFonts w:cs="Arial" w:ascii="Arial" w:hAnsi="Arial"/>
          <w:b/>
          <w:sz w:val="24"/>
          <w:szCs w:val="24"/>
          <w:u w:val="single"/>
        </w:rPr>
      </w:r>
    </w:p>
    <w:p>
      <w:pPr>
        <w:pStyle w:val="Normal"/>
        <w:numPr>
          <w:ilvl w:val="0"/>
          <w:numId w:val="5"/>
        </w:numPr>
        <w:ind w:left="720" w:hanging="720"/>
        <w:rPr>
          <w:rFonts w:ascii="Arial" w:hAnsi="Arial" w:cs="Arial"/>
          <w:b/>
          <w:b/>
          <w:smallCaps/>
          <w:sz w:val="28"/>
          <w:szCs w:val="28"/>
          <w:u w:val="single"/>
        </w:rPr>
      </w:pPr>
      <w:r>
        <w:rPr>
          <w:rFonts w:cs="Arial" w:ascii="Arial" w:hAnsi="Arial"/>
          <w:b/>
          <w:smallCaps/>
          <w:sz w:val="28"/>
          <w:szCs w:val="28"/>
          <w:u w:val="single"/>
        </w:rPr>
        <w:t>Závěr</w:t>
      </w:r>
    </w:p>
    <w:p>
      <w:pPr>
        <w:pStyle w:val="Normal"/>
        <w:jc w:val="both"/>
        <w:rPr>
          <w:rFonts w:ascii="Arial" w:hAnsi="Arial" w:cs="Arial"/>
          <w:b/>
          <w:b/>
          <w:smallCaps/>
          <w:sz w:val="16"/>
          <w:szCs w:val="16"/>
          <w:u w:val="single"/>
        </w:rPr>
      </w:pPr>
      <w:r>
        <w:rPr>
          <w:rFonts w:cs="Arial" w:ascii="Arial" w:hAnsi="Arial"/>
          <w:b/>
          <w:smallCaps/>
          <w:sz w:val="16"/>
          <w:szCs w:val="16"/>
          <w:u w:val="single"/>
        </w:rPr>
      </w:r>
    </w:p>
    <w:p>
      <w:pPr>
        <w:pStyle w:val="Normal"/>
        <w:tabs>
          <w:tab w:val="clear" w:pos="708"/>
          <w:tab w:val="left" w:pos="567" w:leader="none"/>
        </w:tabs>
        <w:ind w:left="720" w:hanging="0"/>
        <w:jc w:val="both"/>
        <w:rPr/>
      </w:pPr>
      <w:r>
        <w:rPr>
          <w:rFonts w:cs="Arial" w:ascii="Arial" w:hAnsi="Arial"/>
          <w:sz w:val="22"/>
        </w:rPr>
        <w:t xml:space="preserve">Projektová dokumentace je vypracována z hlediska maximální hospodárnosti, podle schváleného technického zadání E.ON a.s. a  dle hlavních ustanovení a zásad, uvedených v ČSN 33 2000-1. 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  <w:t>Skladba projektu odpovídá obecným požadavkům zák. č. 183/2006 Sb. ( stavební zákon ) a Přílohy č.2 vyhlášky č. 499/2006 Sb.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</w:r>
      <w:r>
        <w:rPr>
          <w:rFonts w:cs="Arial" w:ascii="Arial" w:hAnsi="Arial"/>
          <w:b/>
          <w:i/>
          <w:sz w:val="22"/>
        </w:rPr>
        <w:t>Realizace díla bude provedena</w:t>
      </w:r>
      <w:r>
        <w:rPr>
          <w:rFonts w:cs="Arial" w:ascii="Arial" w:hAnsi="Arial"/>
          <w:sz w:val="22"/>
        </w:rPr>
        <w:t xml:space="preserve"> </w:t>
      </w:r>
      <w:r>
        <w:rPr>
          <w:rFonts w:cs="Arial" w:ascii="Arial" w:hAnsi="Arial"/>
          <w:b/>
          <w:i/>
          <w:sz w:val="22"/>
        </w:rPr>
        <w:t>na základě uzavřené smlouvy mezi investorem a provozovatelem sítě</w:t>
      </w:r>
      <w:r>
        <w:rPr>
          <w:rFonts w:cs="Arial" w:ascii="Arial" w:hAnsi="Arial"/>
          <w:sz w:val="22"/>
        </w:rPr>
        <w:t xml:space="preserve"> dle schválené a ověřené realizační projektové dokumentace a  v souladu s platnými normami ČSN, ČN, EN, ISO a ostatními souvisejícími předpisy – především zák. 458/2000 Sb.</w:t>
      </w:r>
    </w:p>
    <w:p>
      <w:pPr>
        <w:pStyle w:val="Normal"/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>Při realizaci budou dodržovány podmínky a připomínky dotčených organizací a vlastníků nemovitostí.</w:t>
      </w:r>
    </w:p>
    <w:p>
      <w:pPr>
        <w:pStyle w:val="Normal"/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ab/>
        <w:t xml:space="preserve">Před uvedením do provozu musí být provedena montážní organizací výchozí revize v souladu s ČSN 33 1500 a ČSN 33 2000-6-61 a dodána dokumentace skutečného provedení v rozsahu, </w:t>
      </w:r>
      <w:bookmarkStart w:id="0" w:name="__DdeLink__16_2292220474"/>
      <w:r>
        <w:rPr>
          <w:rFonts w:cs="Arial" w:ascii="Arial" w:hAnsi="Arial"/>
          <w:sz w:val="22"/>
        </w:rPr>
        <w:t>umožňující provoz, údržbu a revizi zařízení.</w:t>
      </w:r>
    </w:p>
    <w:p>
      <w:pPr>
        <w:pStyle w:val="Normal"/>
        <w:ind w:left="1080" w:hanging="0"/>
        <w:rPr>
          <w:rFonts w:ascii="Arial" w:hAnsi="Arial" w:cs="Arial"/>
          <w:b/>
          <w:b/>
          <w:caps/>
          <w:sz w:val="22"/>
          <w:szCs w:val="22"/>
          <w:u w:val="single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</w:r>
      <w:bookmarkEnd w:id="0"/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/>
      </w:pPr>
      <w:r>
        <w:rPr>
          <w:rFonts w:cs="Arial" w:ascii="Arial" w:hAnsi="Arial"/>
          <w:sz w:val="22"/>
        </w:rPr>
        <w:t>Vypracovala Ing. Marie Krejčí,  4.8.2019</w:t>
      </w:r>
    </w:p>
    <w:p>
      <w:pPr>
        <w:pStyle w:val="Normal"/>
        <w:ind w:left="1080" w:hanging="0"/>
        <w:rPr>
          <w:rFonts w:ascii="Arial" w:hAnsi="Arial" w:cs="Arial"/>
          <w:b/>
          <w:b/>
          <w:caps/>
          <w:sz w:val="22"/>
          <w:szCs w:val="22"/>
          <w:u w:val="single"/>
        </w:rPr>
      </w:pPr>
      <w:r>
        <w:rPr>
          <w:rFonts w:cs="Arial" w:ascii="Arial" w:hAnsi="Arial"/>
          <w:b/>
          <w:caps/>
          <w:sz w:val="22"/>
          <w:szCs w:val="22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rPr>
          <w:rFonts w:ascii="Arial" w:hAnsi="Arial" w:cs="Arial"/>
          <w:b/>
          <w:b/>
          <w:smallCaps/>
          <w:sz w:val="24"/>
          <w:u w:val="single"/>
        </w:rPr>
      </w:pPr>
      <w:r>
        <w:rPr>
          <w:rFonts w:cs="Arial" w:ascii="Arial" w:hAnsi="Arial"/>
          <w:b/>
          <w:smallCaps/>
          <w:sz w:val="24"/>
          <w:u w:val="single"/>
        </w:rPr>
      </w:r>
    </w:p>
    <w:p>
      <w:pPr>
        <w:pStyle w:val="Normal"/>
        <w:numPr>
          <w:ilvl w:val="0"/>
          <w:numId w:val="0"/>
        </w:numPr>
        <w:outlineLvl w:val="6"/>
        <w:rPr/>
      </w:pPr>
      <w:r>
        <w:rPr/>
      </w:r>
    </w:p>
    <w:sectPr>
      <w:footerReference w:type="default" r:id="rId2"/>
      <w:footerReference w:type="first" r:id="rId3"/>
      <w:type w:val="nextPage"/>
      <w:pgSz w:w="11906" w:h="16838"/>
      <w:pgMar w:left="1133" w:right="720" w:header="0" w:top="720" w:footer="709" w:bottom="766" w:gutter="0"/>
      <w:pgBorders w:display="allPages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ind w:right="360" w:hanging="0"/>
      <w:rPr>
        <w:rFonts w:ascii="Arial" w:hAnsi="Arial" w:cs="Arial"/>
        <w:lang w:val="sq-AL"/>
      </w:rPr>
    </w:pPr>
    <w:r>
      <w:rPr>
        <w:rFonts w:cs="Arial" w:ascii="Arial" w:hAnsi="Arial"/>
        <w:lang w:val="sq-AL"/>
      </w:rPr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1755" cy="146685"/>
              <wp:effectExtent l="0" t="0" r="0" b="0"/>
              <wp:wrapSquare wrapText="largest"/>
              <wp:docPr id="1" name="Rámec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280" cy="146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pat"/>
                            <w:rPr/>
                          </w:pPr>
                          <w:r>
                            <w:rPr>
                              <w:rStyle w:val="Slostrnky"/>
                              <w:rFonts w:cs="Arial" w:ascii="Arial" w:hAnsi="Arial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rFonts w:cs="Arial" w:ascii="Arial" w:hAnsi="Arial"/>
                            </w:rPr>
                            <w:instrText> PAGE </w:instrText>
                          </w:r>
                          <w:r>
                            <w:rPr>
                              <w:rStyle w:val="Slostrnky"/>
                              <w:rFonts w:cs="Arial" w:ascii="Arial" w:hAnsi="Arial"/>
                            </w:rPr>
                            <w:fldChar w:fldCharType="separate"/>
                          </w:r>
                          <w:r>
                            <w:rPr>
                              <w:rStyle w:val="Slostrnky"/>
                              <w:rFonts w:cs="Arial" w:ascii="Arial" w:hAnsi="Arial"/>
                            </w:rPr>
                            <w:t>7</w:t>
                          </w:r>
                          <w:r>
                            <w:rPr>
                              <w:rStyle w:val="Slostrnky"/>
                              <w:rFonts w:cs="Arial"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ámec2" fillcolor="white" stroked="f" style="position:absolute;margin-left:497pt;margin-top:0.05pt;width:5.55pt;height:11.45pt;mso-position-horizontal:right;mso-position-horizontal-relative:margin">
              <w10:wrap type="squar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Zpat"/>
                      <w:rPr/>
                    </w:pPr>
                    <w:r>
                      <w:rPr>
                        <w:rStyle w:val="Slostrnky"/>
                        <w:rFonts w:cs="Arial" w:ascii="Arial" w:hAnsi="Arial"/>
                      </w:rPr>
                      <w:fldChar w:fldCharType="begin"/>
                    </w:r>
                    <w:r>
                      <w:rPr>
                        <w:rStyle w:val="Slostrnky"/>
                        <w:rFonts w:cs="Arial" w:ascii="Arial" w:hAnsi="Arial"/>
                      </w:rPr>
                      <w:instrText> PAGE </w:instrText>
                    </w:r>
                    <w:r>
                      <w:rPr>
                        <w:rStyle w:val="Slostrnky"/>
                        <w:rFonts w:cs="Arial" w:ascii="Arial" w:hAnsi="Arial"/>
                      </w:rPr>
                      <w:fldChar w:fldCharType="separate"/>
                    </w:r>
                    <w:r>
                      <w:rPr>
                        <w:rStyle w:val="Slostrnky"/>
                        <w:rFonts w:cs="Arial" w:ascii="Arial" w:hAnsi="Arial"/>
                      </w:rPr>
                      <w:t>7</w:t>
                    </w:r>
                    <w:r>
                      <w:rPr>
                        <w:rStyle w:val="Slostrnky"/>
                        <w:rFonts w:cs="Arial" w:ascii="Arial" w:hAnsi="Arial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tabs>
          <w:tab w:val="num" w:pos="3615"/>
        </w:tabs>
        <w:ind w:left="3615" w:hanging="360"/>
      </w:pPr>
      <w:rPr>
        <w:rFonts w:ascii="Times New Roman" w:hAnsi="Times New Roman" w:cs="Times New Roman" w:hint="default"/>
        <w:sz w:val="22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  <w:rFonts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mallCaps/>
        <w:sz w:val="28"/>
        <w:b/>
        <w:szCs w:val="28"/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mallCaps/>
        <w:sz w:val="28"/>
        <w:b/>
        <w:szCs w:val="28"/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cs-CZ" w:eastAsia="zh-CN" w:bidi="ar-SA"/>
    </w:rPr>
  </w:style>
  <w:style w:type="paragraph" w:styleId="Nadpis1">
    <w:name w:val="Heading 1"/>
    <w:basedOn w:val="Normal"/>
    <w:next w:val="Normal"/>
    <w:qFormat/>
    <w:pPr>
      <w:keepNext w:val="true"/>
      <w:tabs>
        <w:tab w:val="clear" w:pos="708"/>
        <w:tab w:val="left" w:pos="567" w:leader="none"/>
        <w:tab w:val="left" w:pos="1701" w:leader="none"/>
        <w:tab w:val="left" w:pos="2268" w:leader="none"/>
        <w:tab w:val="left" w:pos="5103" w:leader="none"/>
        <w:tab w:val="left" w:pos="6237" w:leader="none"/>
        <w:tab w:val="left" w:pos="6804" w:leader="none"/>
      </w:tabs>
      <w:outlineLvl w:val="0"/>
    </w:pPr>
    <w:rPr>
      <w:b/>
      <w:i/>
      <w:sz w:val="24"/>
    </w:rPr>
  </w:style>
  <w:style w:type="paragraph" w:styleId="Nadpis2">
    <w:name w:val="Heading 2"/>
    <w:basedOn w:val="Normal"/>
    <w:next w:val="Normal"/>
    <w:qFormat/>
    <w:pPr>
      <w:keepNext w:val="true"/>
      <w:spacing w:before="240" w:after="60"/>
      <w:ind w:left="170" w:hanging="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al"/>
    <w:next w:val="Normal"/>
    <w:qFormat/>
    <w:pPr>
      <w:keepNext w:val="true"/>
      <w:ind w:left="3261" w:hanging="3261"/>
      <w:outlineLvl w:val="2"/>
    </w:pPr>
    <w:rPr>
      <w:sz w:val="24"/>
    </w:rPr>
  </w:style>
  <w:style w:type="paragraph" w:styleId="Nadpis4">
    <w:name w:val="Heading 4"/>
    <w:basedOn w:val="Normal"/>
    <w:next w:val="Normal"/>
    <w:qFormat/>
    <w:pPr>
      <w:keepNext w:val="true"/>
      <w:outlineLvl w:val="3"/>
    </w:pPr>
    <w:rPr>
      <w:sz w:val="24"/>
    </w:rPr>
  </w:style>
  <w:style w:type="paragraph" w:styleId="Nadpis5">
    <w:name w:val="Heading 5"/>
    <w:basedOn w:val="Normal"/>
    <w:next w:val="Normal"/>
    <w:qFormat/>
    <w:pPr>
      <w:keepNext w:val="true"/>
      <w:tabs>
        <w:tab w:val="clear" w:pos="708"/>
        <w:tab w:val="left" w:pos="567" w:leader="none"/>
      </w:tabs>
      <w:ind w:left="480" w:hanging="0"/>
      <w:outlineLvl w:val="4"/>
    </w:pPr>
    <w:rPr>
      <w:sz w:val="24"/>
    </w:rPr>
  </w:style>
  <w:style w:type="paragraph" w:styleId="Nadpis6">
    <w:name w:val="Heading 6"/>
    <w:basedOn w:val="Normal"/>
    <w:next w:val="Normal"/>
    <w:qFormat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dpis7">
    <w:name w:val="Heading 7"/>
    <w:basedOn w:val="Normal"/>
    <w:next w:val="Normal"/>
    <w:qFormat/>
    <w:pPr>
      <w:keepNext w:val="true"/>
      <w:outlineLvl w:val="6"/>
    </w:pPr>
    <w:rPr>
      <w:b/>
      <w:sz w:val="24"/>
    </w:rPr>
  </w:style>
  <w:style w:type="paragraph" w:styleId="Nadpis8">
    <w:name w:val="Heading 8"/>
    <w:basedOn w:val="Normal"/>
    <w:next w:val="Normal"/>
    <w:qFormat/>
    <w:p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Nadpis9">
    <w:name w:val="Heading 9"/>
    <w:basedOn w:val="Normal"/>
    <w:next w:val="Normal"/>
    <w:qFormat/>
    <w:pPr>
      <w:keepNext w:val="true"/>
      <w:widowControl w:val="false"/>
      <w:jc w:val="center"/>
      <w:outlineLvl w:val="8"/>
    </w:pPr>
    <w:rPr>
      <w:b/>
      <w:i/>
      <w:sz w:val="32"/>
      <w:u w:val="single"/>
    </w:rPr>
  </w:style>
  <w:style w:type="character" w:styleId="WW8Num1z0">
    <w:name w:val="WW8Num1z0"/>
    <w:qFormat/>
    <w:rPr>
      <w:rFonts w:ascii="Symbol" w:hAnsi="Symbol" w:cs="Symbol"/>
    </w:rPr>
  </w:style>
  <w:style w:type="character" w:styleId="WW8Num1z1">
    <w:name w:val="WW8Num1z1"/>
    <w:qFormat/>
    <w:rPr>
      <w:rFonts w:ascii="Wingdings" w:hAnsi="Wingdings" w:cs="Wingdings"/>
    </w:rPr>
  </w:style>
  <w:style w:type="character" w:styleId="WW8Num1z4">
    <w:name w:val="WW8Num1z4"/>
    <w:qFormat/>
    <w:rPr>
      <w:rFonts w:ascii="Courier New" w:hAnsi="Courier New" w:cs="Courier New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Wingdings" w:hAnsi="Wingdings" w:cs="Wingdings"/>
    </w:rPr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8z0">
    <w:name w:val="WW8Num8z0"/>
    <w:qFormat/>
    <w:rPr>
      <w:lang w:val="sq-A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Wingdings" w:hAnsi="Wingdings" w:cs="Wingdings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rFonts w:ascii="Courier New" w:hAnsi="Courier New" w:cs="Times New Roman"/>
      <w:sz w:val="22"/>
      <w:lang w:val="sq-A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Wingdings" w:hAnsi="Wingdings" w:cs="Wingdings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mbol" w:hAnsi="Symbol" w:cs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7z0">
    <w:name w:val="WW8Num17z0"/>
    <w:qFormat/>
    <w:rPr>
      <w:rFonts w:ascii="Wingdings" w:hAnsi="Wingdings" w:cs="Wingdings"/>
    </w:rPr>
  </w:style>
  <w:style w:type="character" w:styleId="WW8Num18z0">
    <w:name w:val="WW8Num18z0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1z0">
    <w:name w:val="WW8Num21z0"/>
    <w:qFormat/>
    <w:rPr>
      <w:rFonts w:ascii="Arial" w:hAnsi="Arial" w:cs="Arial"/>
      <w:b/>
      <w:smallCaps/>
      <w:sz w:val="28"/>
      <w:szCs w:val="28"/>
    </w:rPr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ascii="Symbol" w:hAnsi="Symbol" w:cs="Symbol"/>
      <w:sz w:val="22"/>
      <w:szCs w:val="22"/>
      <w:lang w:val="sq-A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4z0">
    <w:name w:val="WW8Num24z0"/>
    <w:qFormat/>
    <w:rPr>
      <w:rFonts w:ascii="Courier New" w:hAnsi="Courier New" w:cs="Courier New"/>
      <w:color w:val="000000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rFonts w:ascii="Wingdings" w:hAnsi="Wingdings" w:cs="Wingdings"/>
    </w:rPr>
  </w:style>
  <w:style w:type="character" w:styleId="WW8Num27z0">
    <w:name w:val="WW8Num27z0"/>
    <w:qFormat/>
    <w:rPr/>
  </w:style>
  <w:style w:type="character" w:styleId="WW8Num28z0">
    <w:name w:val="WW8Num28z0"/>
    <w:qFormat/>
    <w:rPr>
      <w:rFonts w:ascii="Symbol" w:hAnsi="Symbol" w:cs="Symbol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rFonts w:ascii="Symbol" w:hAnsi="Symbol" w:cs="Symbol"/>
    </w:rPr>
  </w:style>
  <w:style w:type="character" w:styleId="WW8Num29z1">
    <w:name w:val="WW8Num29z1"/>
    <w:qFormat/>
    <w:rPr>
      <w:rFonts w:ascii="Wingdings" w:hAnsi="Wingdings" w:cs="Wingdings"/>
    </w:rPr>
  </w:style>
  <w:style w:type="character" w:styleId="WW8Num29z4">
    <w:name w:val="WW8Num29z4"/>
    <w:qFormat/>
    <w:rPr>
      <w:rFonts w:ascii="Courier New" w:hAnsi="Courier New" w:cs="Courier New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2z0">
    <w:name w:val="WW8Num32z0"/>
    <w:qFormat/>
    <w:rPr>
      <w:rFonts w:ascii="Symbol" w:hAnsi="Symbol" w:cs="Symbol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ascii="Symbol" w:hAnsi="Symbol" w:cs="Symbol"/>
      <w:color w:val="000000"/>
      <w:sz w:val="22"/>
      <w:szCs w:val="22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  <w:sz w:val="22"/>
      <w:lang w:val="sq-AL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ascii="Wingdings" w:hAnsi="Wingdings" w:cs="Wingdings"/>
      <w:sz w:val="22"/>
      <w:lang w:val="sq-AL"/>
    </w:rPr>
  </w:style>
  <w:style w:type="character" w:styleId="WW8Num39z0">
    <w:name w:val="WW8Num39z0"/>
    <w:qFormat/>
    <w:rPr>
      <w:rFonts w:ascii="Wingdings" w:hAnsi="Wingdings" w:cs="Wingdings"/>
      <w:sz w:val="22"/>
      <w:lang w:val="sq-AL"/>
    </w:rPr>
  </w:style>
  <w:style w:type="character" w:styleId="WW8Num39z1">
    <w:name w:val="WW8Num39z1"/>
    <w:qFormat/>
    <w:rPr>
      <w:rFonts w:ascii="Courier New" w:hAnsi="Courier New" w:cs="Courier New"/>
      <w:sz w:val="22"/>
      <w:lang w:val="sq-A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Courier New" w:hAnsi="Courier New" w:cs="Times New Roman"/>
    </w:rPr>
  </w:style>
  <w:style w:type="character" w:styleId="WW8Num40z1">
    <w:name w:val="WW8Num40z1"/>
    <w:qFormat/>
    <w:rPr>
      <w:rFonts w:ascii="Symbol" w:hAnsi="Symbol" w:cs="Symbol"/>
    </w:rPr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Wingdings" w:hAnsi="Wingdings" w:cs="Wingdings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0">
    <w:name w:val="WW8Num42z0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rFonts w:cs="Arial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">
    <w:name w:val="Standardní písmo odstavce"/>
    <w:qFormat/>
    <w:rPr/>
  </w:style>
  <w:style w:type="character" w:styleId="Slostrnky">
    <w:name w:val="Číslo stránky"/>
    <w:basedOn w:val="Standardnpsmoodstavce"/>
    <w:rPr/>
  </w:style>
  <w:style w:type="character" w:styleId="Internetovodkaz">
    <w:name w:val="Internetový odkaz"/>
    <w:rPr>
      <w:color w:val="0000FF"/>
      <w:u w:val="single"/>
    </w:rPr>
  </w:style>
  <w:style w:type="character" w:styleId="ZhlavChar">
    <w:name w:val="Záhlaví Char"/>
    <w:basedOn w:val="Standardnpsmoodstavce"/>
    <w:qFormat/>
    <w:rPr/>
  </w:style>
  <w:style w:type="character" w:styleId="ZpatChar">
    <w:name w:val="Zápatí Char"/>
    <w:qFormat/>
    <w:rPr/>
  </w:style>
  <w:style w:type="character" w:styleId="Nadpis6Char">
    <w:name w:val="Nadpis 6 Char"/>
    <w:qFormat/>
    <w:rPr>
      <w:rFonts w:ascii="Calibri" w:hAnsi="Calibri" w:cs="Calibri"/>
      <w:b/>
      <w:bCs/>
      <w:sz w:val="22"/>
      <w:szCs w:val="22"/>
    </w:rPr>
  </w:style>
  <w:style w:type="character" w:styleId="Nadpis8Char">
    <w:name w:val="Nadpis 8 Char"/>
    <w:qFormat/>
    <w:rPr>
      <w:rFonts w:ascii="Calibri" w:hAnsi="Calibri" w:cs="Calibri"/>
      <w:i/>
      <w:iCs/>
      <w:sz w:val="24"/>
      <w:szCs w:val="24"/>
    </w:rPr>
  </w:style>
  <w:style w:type="character" w:styleId="Nadpis1Char">
    <w:name w:val="Nadpis 1 Char"/>
    <w:qFormat/>
    <w:rPr>
      <w:b/>
      <w:i/>
      <w:sz w:val="24"/>
    </w:rPr>
  </w:style>
  <w:style w:type="character" w:styleId="Nadpis2Char">
    <w:name w:val="Nadpis 2 Char"/>
    <w:qFormat/>
    <w:rPr>
      <w:rFonts w:ascii="Arial" w:hAnsi="Arial" w:cs="Arial"/>
      <w:b/>
      <w:bCs/>
      <w:i/>
      <w:iCs/>
      <w:sz w:val="28"/>
      <w:szCs w:val="28"/>
    </w:rPr>
  </w:style>
  <w:style w:type="character" w:styleId="Nadpis3Char">
    <w:name w:val="Nadpis 3 Char"/>
    <w:qFormat/>
    <w:rPr>
      <w:sz w:val="24"/>
    </w:rPr>
  </w:style>
  <w:style w:type="character" w:styleId="Nadpis4Char">
    <w:name w:val="Nadpis 4 Char"/>
    <w:qFormat/>
    <w:rPr>
      <w:sz w:val="24"/>
    </w:rPr>
  </w:style>
  <w:style w:type="character" w:styleId="Nadpis5Char">
    <w:name w:val="Nadpis 5 Char"/>
    <w:qFormat/>
    <w:rPr>
      <w:sz w:val="24"/>
    </w:rPr>
  </w:style>
  <w:style w:type="character" w:styleId="Nadpis7Char">
    <w:name w:val="Nadpis 7 Char"/>
    <w:qFormat/>
    <w:rPr>
      <w:b/>
      <w:sz w:val="24"/>
    </w:rPr>
  </w:style>
  <w:style w:type="character" w:styleId="Nadpis9Char">
    <w:name w:val="Nadpis 9 Char"/>
    <w:qFormat/>
    <w:rPr>
      <w:b/>
      <w:i/>
      <w:sz w:val="32"/>
      <w:u w:val="single"/>
    </w:rPr>
  </w:style>
  <w:style w:type="character" w:styleId="Navtveninternetovodkaz">
    <w:name w:val="Navštívený internetový odkaz"/>
    <w:rPr>
      <w:color w:val="800080"/>
      <w:u w:val="single"/>
    </w:rPr>
  </w:style>
  <w:style w:type="character" w:styleId="FormtovanvHTMLChar">
    <w:name w:val="Formátovaný v HTML Char"/>
    <w:qFormat/>
    <w:rPr>
      <w:rFonts w:ascii="Courier New" w:hAnsi="Courier New" w:cs="Courier New"/>
    </w:rPr>
  </w:style>
  <w:style w:type="character" w:styleId="NzevChar">
    <w:name w:val="Název Char"/>
    <w:qFormat/>
    <w:rPr>
      <w:rFonts w:ascii="Arial" w:hAnsi="Arial" w:cs="Arial"/>
      <w:b/>
      <w:sz w:val="32"/>
    </w:rPr>
  </w:style>
  <w:style w:type="character" w:styleId="ZkladntextChar">
    <w:name w:val="Základní text Char"/>
    <w:qFormat/>
    <w:rPr>
      <w:sz w:val="24"/>
    </w:rPr>
  </w:style>
  <w:style w:type="character" w:styleId="ZkladntextodsazenChar">
    <w:name w:val="Základní text odsazený Char"/>
    <w:qFormat/>
    <w:rPr/>
  </w:style>
  <w:style w:type="character" w:styleId="Zkladntext2Char">
    <w:name w:val="Základní text 2 Char"/>
    <w:qFormat/>
    <w:rPr>
      <w:sz w:val="22"/>
    </w:rPr>
  </w:style>
  <w:style w:type="character" w:styleId="Zkladntext2Char1">
    <w:name w:val="Základní text 2 Char1"/>
    <w:qFormat/>
    <w:rPr>
      <w:rFonts w:ascii="Arial" w:hAnsi="Arial" w:cs="Arial"/>
    </w:rPr>
  </w:style>
  <w:style w:type="character" w:styleId="Zkladntext2Char2">
    <w:name w:val="Základní text 2 Char2"/>
    <w:qFormat/>
    <w:rPr>
      <w:rFonts w:ascii="Arial" w:hAnsi="Arial" w:cs="Arial"/>
    </w:rPr>
  </w:style>
  <w:style w:type="character" w:styleId="Zkladntext3Char">
    <w:name w:val="Základní text 3 Char"/>
    <w:qFormat/>
    <w:rPr>
      <w:sz w:val="16"/>
      <w:szCs w:val="16"/>
    </w:rPr>
  </w:style>
  <w:style w:type="character" w:styleId="Zkladntextodsazen2Char">
    <w:name w:val="Základní text odsazený 2 Char"/>
    <w:basedOn w:val="Standardnpsmoodstavce"/>
    <w:qFormat/>
    <w:rPr/>
  </w:style>
  <w:style w:type="character" w:styleId="Zkladntextodsazen3Char">
    <w:name w:val="Základní text odsazený 3 Char"/>
    <w:qFormat/>
    <w:rPr>
      <w:rFonts w:ascii="Arial" w:hAnsi="Arial" w:cs="Arial"/>
      <w:sz w:val="16"/>
      <w:szCs w:val="16"/>
    </w:rPr>
  </w:style>
  <w:style w:type="character" w:styleId="Zkladntextodsazen3Char1">
    <w:name w:val="Základní text odsazený 3 Char1"/>
    <w:qFormat/>
    <w:rPr>
      <w:sz w:val="16"/>
      <w:szCs w:val="16"/>
    </w:rPr>
  </w:style>
  <w:style w:type="character" w:styleId="ProsttextChar">
    <w:name w:val="Prostý text Char"/>
    <w:qFormat/>
    <w:rPr>
      <w:rFonts w:ascii="Courier New" w:hAnsi="Courier New" w:cs="Courier New"/>
    </w:rPr>
  </w:style>
  <w:style w:type="character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Arial" w:hAnsi="Arial" w:cs="Times New Roman"/>
      <w:sz w:val="22"/>
    </w:rPr>
  </w:style>
  <w:style w:type="character" w:styleId="ListLabel2">
    <w:name w:val="ListLabel 2"/>
    <w:qFormat/>
    <w:rPr>
      <w:rFonts w:ascii="Arial" w:hAnsi="Arial" w:cs="Wingdings"/>
      <w:sz w:val="22"/>
    </w:rPr>
  </w:style>
  <w:style w:type="character" w:styleId="ListLabel3">
    <w:name w:val="ListLabel 3"/>
    <w:qFormat/>
    <w:rPr>
      <w:rFonts w:cs="Arial"/>
      <w:b/>
      <w:smallCaps/>
      <w:sz w:val="28"/>
      <w:szCs w:val="28"/>
    </w:rPr>
  </w:style>
  <w:style w:type="character" w:styleId="ListLabel4">
    <w:name w:val="ListLabel 4"/>
    <w:qFormat/>
    <w:rPr>
      <w:rFonts w:ascii="Arial" w:hAnsi="Arial" w:cs="Symbol"/>
      <w:color w:val="000000"/>
      <w:sz w:val="22"/>
      <w:szCs w:val="22"/>
    </w:rPr>
  </w:style>
  <w:style w:type="character" w:styleId="ListLabel5">
    <w:name w:val="ListLabel 5"/>
    <w:qFormat/>
    <w:rPr>
      <w:rFonts w:ascii="Arial" w:hAnsi="Arial" w:cs="Arial"/>
      <w:b/>
      <w:smallCaps/>
      <w:sz w:val="28"/>
      <w:szCs w:val="28"/>
    </w:rPr>
  </w:style>
  <w:style w:type="character" w:styleId="ListLabel6">
    <w:name w:val="ListLabel 6"/>
    <w:qFormat/>
    <w:rPr>
      <w:rFonts w:ascii="Arial" w:hAnsi="Arial" w:cs="Arial"/>
      <w:b/>
      <w:smallCaps/>
      <w:sz w:val="28"/>
      <w:szCs w:val="28"/>
    </w:rPr>
  </w:style>
  <w:style w:type="paragraph" w:styleId="Nadpis">
    <w:name w:val="Nadpis"/>
    <w:basedOn w:val="Normal"/>
    <w:next w:val="Tlotextu"/>
    <w:qFormat/>
    <w:pPr>
      <w:jc w:val="center"/>
    </w:pPr>
    <w:rPr>
      <w:rFonts w:ascii="Arial" w:hAnsi="Arial" w:cs="Arial"/>
      <w:b/>
      <w:sz w:val="32"/>
    </w:rPr>
  </w:style>
  <w:style w:type="paragraph" w:styleId="Tlotextu">
    <w:name w:val="Body Text"/>
    <w:basedOn w:val="Normal"/>
    <w:pPr>
      <w:tabs>
        <w:tab w:val="clear" w:pos="708"/>
        <w:tab w:val="left" w:pos="567" w:leader="none"/>
      </w:tabs>
    </w:pPr>
    <w:rPr>
      <w:sz w:val="24"/>
    </w:rPr>
  </w:style>
  <w:style w:type="paragraph" w:styleId="Seznam">
    <w:name w:val="List"/>
    <w:basedOn w:val="Normal"/>
    <w:pPr>
      <w:ind w:left="283" w:hanging="283"/>
    </w:pPr>
    <w:rPr>
      <w:rFonts w:ascii="Arial" w:hAnsi="Arial"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Zpat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kladntext2">
    <w:name w:val="Základní text 2"/>
    <w:basedOn w:val="Normal"/>
    <w:qFormat/>
    <w:pPr>
      <w:tabs>
        <w:tab w:val="clear" w:pos="708"/>
        <w:tab w:val="left" w:pos="567" w:leader="none"/>
      </w:tabs>
      <w:jc w:val="both"/>
    </w:pPr>
    <w:rPr>
      <w:sz w:val="22"/>
    </w:rPr>
  </w:style>
  <w:style w:type="paragraph" w:styleId="Odsazentlatextu">
    <w:name w:val="Body Text Indent"/>
    <w:basedOn w:val="Normal"/>
    <w:pPr>
      <w:spacing w:before="0" w:after="120"/>
      <w:ind w:left="283" w:hanging="0"/>
    </w:pPr>
    <w:rPr/>
  </w:style>
  <w:style w:type="paragraph" w:styleId="Zkladntext3">
    <w:name w:val="Základní text 3"/>
    <w:basedOn w:val="Normal"/>
    <w:qFormat/>
    <w:pPr>
      <w:spacing w:before="0" w:after="120"/>
    </w:pPr>
    <w:rPr>
      <w:sz w:val="16"/>
      <w:szCs w:val="16"/>
    </w:rPr>
  </w:style>
  <w:style w:type="paragraph" w:styleId="FormtovanvHTML">
    <w:name w:val="Formátovaný v HTML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Uvod">
    <w:name w:val="Uvod"/>
    <w:basedOn w:val="Nadpis1"/>
    <w:qFormat/>
    <w:pPr>
      <w:tabs>
        <w:tab w:val="clear" w:pos="567"/>
        <w:tab w:val="clear" w:pos="1701"/>
        <w:tab w:val="clear" w:pos="2268"/>
        <w:tab w:val="clear" w:pos="5103"/>
        <w:tab w:val="clear" w:pos="6237"/>
        <w:tab w:val="clear" w:pos="6804"/>
      </w:tabs>
      <w:spacing w:lineRule="atLeast" w:line="240" w:before="120" w:after="60"/>
      <w:jc w:val="both"/>
    </w:pPr>
    <w:rPr>
      <w:i w:val="false"/>
      <w:caps/>
      <w:kern w:val="2"/>
      <w:sz w:val="22"/>
      <w:lang w:val="en-US"/>
    </w:rPr>
  </w:style>
  <w:style w:type="paragraph" w:styleId="Prosttext">
    <w:name w:val="Prostý text"/>
    <w:basedOn w:val="Normal"/>
    <w:qFormat/>
    <w:pPr/>
    <w:rPr>
      <w:rFonts w:ascii="Courier New" w:hAnsi="Courier New" w:cs="Courier New"/>
    </w:rPr>
  </w:style>
  <w:style w:type="paragraph" w:styleId="Textvbloku">
    <w:name w:val="Text v bloku"/>
    <w:basedOn w:val="Normal"/>
    <w:qFormat/>
    <w:pPr>
      <w:tabs>
        <w:tab w:val="clear" w:pos="708"/>
        <w:tab w:val="left" w:pos="1560" w:leader="none"/>
        <w:tab w:val="left" w:pos="2127" w:leader="none"/>
        <w:tab w:val="left" w:pos="3969" w:leader="none"/>
      </w:tabs>
      <w:ind w:left="2836" w:right="-284" w:hanging="2835"/>
    </w:pPr>
    <w:rPr>
      <w:sz w:val="22"/>
    </w:rPr>
  </w:style>
  <w:style w:type="paragraph" w:styleId="Zhlav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itulek">
    <w:name w:val="Titulek"/>
    <w:basedOn w:val="Normal"/>
    <w:next w:val="Normal"/>
    <w:qFormat/>
    <w:pPr>
      <w:spacing w:before="120" w:after="120"/>
    </w:pPr>
    <w:rPr>
      <w:b/>
      <w:bCs/>
    </w:rPr>
  </w:style>
  <w:style w:type="paragraph" w:styleId="Zkladntextodsazen2">
    <w:name w:val="Základní text odsazený 2"/>
    <w:basedOn w:val="Normal"/>
    <w:qFormat/>
    <w:pPr>
      <w:spacing w:lineRule="auto" w:line="480" w:before="0" w:after="120"/>
      <w:ind w:left="283" w:hanging="0"/>
    </w:pPr>
    <w:rPr/>
  </w:style>
  <w:style w:type="paragraph" w:styleId="Zkladntextodsazen3">
    <w:name w:val="Základní text odsazený 3"/>
    <w:basedOn w:val="Normal"/>
    <w:qFormat/>
    <w:pPr>
      <w:spacing w:before="0" w:after="120"/>
      <w:ind w:left="283" w:hanging="0"/>
    </w:pPr>
    <w:rPr>
      <w:rFonts w:ascii="Arial" w:hAnsi="Arial" w:cs="Arial"/>
      <w:sz w:val="16"/>
      <w:szCs w:val="16"/>
    </w:rPr>
  </w:style>
  <w:style w:type="paragraph" w:styleId="Textbubliny">
    <w:name w:val="Text bubliny"/>
    <w:basedOn w:val="Normal"/>
    <w:qFormat/>
    <w:pPr/>
    <w:rPr>
      <w:rFonts w:ascii="Tahoma" w:hAnsi="Tahoma" w:cs="Tahoma"/>
      <w:sz w:val="16"/>
      <w:szCs w:val="16"/>
    </w:rPr>
  </w:style>
  <w:style w:type="paragraph" w:styleId="Odstavecseseznamem">
    <w:name w:val="Odstavec se seznamem"/>
    <w:basedOn w:val="Normal"/>
    <w:qFormat/>
    <w:pPr>
      <w:ind w:left="708" w:hanging="0"/>
    </w:pPr>
    <w:rPr>
      <w:rFonts w:ascii="Arial" w:hAnsi="Arial" w:cs="Arial"/>
    </w:rPr>
  </w:style>
  <w:style w:type="paragraph" w:styleId="Odstavec">
    <w:name w:val="Odstavec"/>
    <w:basedOn w:val="Nadpis4"/>
    <w:qFormat/>
    <w:pPr>
      <w:ind w:left="567" w:hanging="567"/>
    </w:pPr>
    <w:rPr>
      <w:rFonts w:ascii="Arial" w:hAnsi="Arial" w:cs="Arial"/>
      <w:b/>
      <w:caps/>
      <w:sz w:val="22"/>
    </w:rPr>
  </w:style>
  <w:style w:type="paragraph" w:styleId="Zkladntext22">
    <w:name w:val="Základní text 22"/>
    <w:basedOn w:val="Normal"/>
    <w:qFormat/>
    <w:pPr>
      <w:widowControl w:val="false"/>
      <w:tabs>
        <w:tab w:val="clear" w:pos="708"/>
        <w:tab w:val="left" w:pos="567" w:leader="none"/>
      </w:tabs>
      <w:suppressAutoHyphens w:val="true"/>
      <w:jc w:val="both"/>
    </w:pPr>
    <w:rPr>
      <w:rFonts w:eastAsia="Arial Unicode MS"/>
      <w:sz w:val="22"/>
      <w:szCs w:val="24"/>
    </w:rPr>
  </w:style>
  <w:style w:type="paragraph" w:styleId="Zkladntextodsazen31">
    <w:name w:val="Základní text odsazený 31"/>
    <w:basedOn w:val="Normal"/>
    <w:qFormat/>
    <w:pPr>
      <w:widowControl w:val="false"/>
      <w:suppressAutoHyphens w:val="true"/>
      <w:ind w:firstLine="708"/>
    </w:pPr>
    <w:rPr>
      <w:rFonts w:eastAsia="Arial Unicode MS"/>
      <w:sz w:val="24"/>
      <w:szCs w:val="24"/>
    </w:rPr>
  </w:style>
  <w:style w:type="paragraph" w:styleId="Zkladntext21">
    <w:name w:val="Základní text 21"/>
    <w:basedOn w:val="Normal"/>
    <w:qFormat/>
    <w:pPr>
      <w:widowControl w:val="false"/>
      <w:tabs>
        <w:tab w:val="clear" w:pos="708"/>
        <w:tab w:val="left" w:pos="567" w:leader="none"/>
      </w:tabs>
      <w:suppressAutoHyphens w:val="true"/>
      <w:jc w:val="both"/>
    </w:pPr>
    <w:rPr>
      <w:rFonts w:eastAsia="Arial Unicode MS"/>
      <w:sz w:val="22"/>
      <w:szCs w:val="24"/>
    </w:rPr>
  </w:style>
  <w:style w:type="paragraph" w:styleId="PDtext3">
    <w:name w:val="PD-text3"/>
    <w:basedOn w:val="Normal"/>
    <w:qFormat/>
    <w:pPr>
      <w:spacing w:before="120" w:after="0"/>
    </w:pPr>
    <w:rPr>
      <w:sz w:val="22"/>
    </w:rPr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suppressLineNumbers/>
      <w:jc w:val="center"/>
    </w:pPr>
    <w:rPr>
      <w:b/>
      <w:bCs/>
    </w:rPr>
  </w:style>
  <w:style w:type="paragraph" w:styleId="Obsahrmce">
    <w:name w:val="Obsah rámce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LibreOffice/6.2.5.2$Windows_X86_64 LibreOffice_project/1ec314fa52f458adc18c4f025c545a4e8b22c159</Application>
  <Pages>7</Pages>
  <Words>2245</Words>
  <Characters>11823</Characters>
  <CharactersWithSpaces>14297</CharactersWithSpaces>
  <Paragraphs>166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2019-08-03T10:46:00Z</dcterms:created>
  <dc:creator>A</dc:creator>
  <dc:description/>
  <dc:language>cs-CZ</dc:language>
  <cp:lastModifiedBy/>
  <cp:lastPrinted>2015-12-03T08:14:00Z</cp:lastPrinted>
  <dcterms:modified xsi:type="dcterms:W3CDTF">2019-08-04T12:46:11Z</dcterms:modified>
  <cp:revision>3</cp:revision>
  <dc:subject/>
  <dc:title>ELING CZ S</dc:title>
</cp:coreProperties>
</file>